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asciiTheme="majorEastAsia" w:hAnsiTheme="majorEastAsia" w:eastAsiaTheme="majorEastAsia"/>
          <w:b/>
          <w:sz w:val="44"/>
        </w:rPr>
      </w:pPr>
      <w:r>
        <w:rPr>
          <w:rFonts w:hint="eastAsia" w:asciiTheme="majorEastAsia" w:hAnsiTheme="majorEastAsia" w:eastAsiaTheme="majorEastAsia"/>
          <w:b/>
          <w:sz w:val="44"/>
        </w:rPr>
        <w:t>曲阳县行政审批局</w:t>
      </w:r>
    </w:p>
    <w:p>
      <w:pPr>
        <w:ind w:firstLine="883" w:firstLineChars="200"/>
        <w:jc w:val="center"/>
        <w:rPr>
          <w:rFonts w:asciiTheme="majorEastAsia" w:hAnsiTheme="majorEastAsia" w:eastAsiaTheme="majorEastAsia"/>
          <w:b/>
          <w:sz w:val="44"/>
        </w:rPr>
      </w:pPr>
      <w:r>
        <w:rPr>
          <w:rFonts w:hint="eastAsia" w:asciiTheme="majorEastAsia" w:hAnsiTheme="majorEastAsia" w:eastAsiaTheme="majorEastAsia"/>
          <w:b/>
          <w:sz w:val="44"/>
        </w:rPr>
        <w:t>2018年部门预算信息公开</w:t>
      </w:r>
    </w:p>
    <w:p>
      <w:pPr>
        <w:ind w:firstLine="640" w:firstLineChars="200"/>
        <w:jc w:val="center"/>
        <w:rPr>
          <w:rFonts w:ascii="方正小标宋_GBK" w:eastAsia="方正小标宋_GBK"/>
          <w:b/>
          <w:sz w:val="32"/>
          <w:szCs w:val="32"/>
        </w:rPr>
      </w:pPr>
    </w:p>
    <w:p>
      <w:pPr>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《中华人民共和国预算法》</w:t>
      </w:r>
      <w:r>
        <w:rPr>
          <w:rFonts w:hint="eastAsia" w:ascii="仿宋" w:hAnsi="仿宋" w:eastAsia="仿宋"/>
          <w:sz w:val="32"/>
          <w:szCs w:val="32"/>
        </w:rPr>
        <w:t>规定，现将曲阳县行政审批局2018年部门预算公开如下：</w:t>
      </w:r>
    </w:p>
    <w:p>
      <w:pPr>
        <w:ind w:firstLine="300" w:firstLineChars="200"/>
        <w:jc w:val="center"/>
        <w:rPr>
          <w:rFonts w:ascii="方正小标宋_GBK" w:eastAsia="方正小标宋_GBK"/>
          <w:b/>
          <w:sz w:val="15"/>
          <w:szCs w:val="15"/>
        </w:rPr>
      </w:pPr>
    </w:p>
    <w:p>
      <w:pPr>
        <w:ind w:firstLine="723" w:firstLineChars="200"/>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第一部分 部门职责及机构设置情况</w:t>
      </w:r>
    </w:p>
    <w:p>
      <w:pPr>
        <w:ind w:firstLine="261" w:firstLineChars="200"/>
        <w:jc w:val="center"/>
        <w:rPr>
          <w:rFonts w:asciiTheme="majorEastAsia" w:hAnsiTheme="majorEastAsia" w:eastAsiaTheme="majorEastAsia"/>
          <w:b/>
          <w:sz w:val="13"/>
          <w:szCs w:val="13"/>
        </w:rPr>
      </w:pPr>
    </w:p>
    <w:p>
      <w:pPr>
        <w:pStyle w:val="13"/>
        <w:numPr>
          <w:ilvl w:val="0"/>
          <w:numId w:val="1"/>
        </w:numPr>
        <w:ind w:firstLineChars="0"/>
        <w:jc w:val="left"/>
        <w:rPr>
          <w:rFonts w:asciiTheme="majorEastAsia" w:hAnsiTheme="majorEastAsia" w:eastAsiaTheme="majorEastAsia"/>
          <w:b/>
          <w:sz w:val="32"/>
          <w:szCs w:val="32"/>
        </w:rPr>
      </w:pPr>
      <w:r>
        <w:rPr>
          <w:rFonts w:hint="eastAsia" w:asciiTheme="majorEastAsia" w:hAnsiTheme="majorEastAsia" w:eastAsiaTheme="majorEastAsia"/>
          <w:b/>
          <w:sz w:val="32"/>
          <w:szCs w:val="32"/>
        </w:rPr>
        <w:t>部门职责</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（一）</w:t>
      </w:r>
      <w:r>
        <w:rPr>
          <w:rFonts w:hint="eastAsia" w:ascii="仿宋_GB2312" w:hAnsi="仿宋" w:eastAsia="仿宋_GB2312"/>
          <w:sz w:val="32"/>
          <w:szCs w:val="32"/>
        </w:rPr>
        <w:t>贯彻执行国家、省、市有关行政审批、公共服务、中介服务和公共资源交易等方面的方针政策、法律法规。</w:t>
      </w:r>
    </w:p>
    <w:p>
      <w:pPr>
        <w:spacing w:line="560" w:lineRule="exact"/>
        <w:ind w:firstLine="643" w:firstLineChars="200"/>
        <w:rPr>
          <w:rFonts w:ascii="仿宋_GB2312" w:hAnsi="仿宋" w:eastAsia="仿宋_GB2312"/>
          <w:sz w:val="32"/>
          <w:szCs w:val="32"/>
        </w:rPr>
      </w:pPr>
      <w:r>
        <w:rPr>
          <w:rFonts w:hint="eastAsia" w:ascii="仿宋_GB2312" w:hAnsi="仿宋_GB2312" w:eastAsia="仿宋_GB2312" w:cs="仿宋_GB2312"/>
          <w:b/>
          <w:color w:val="000000"/>
          <w:sz w:val="32"/>
          <w:szCs w:val="32"/>
          <w:shd w:val="clear" w:color="auto" w:fill="FFFFFF"/>
        </w:rPr>
        <w:t>（二）</w:t>
      </w:r>
      <w:r>
        <w:rPr>
          <w:rFonts w:hint="eastAsia" w:ascii="仿宋_GB2312" w:hAnsi="仿宋_GB2312" w:eastAsia="仿宋_GB2312" w:cs="仿宋_GB2312"/>
          <w:color w:val="000000"/>
          <w:sz w:val="32"/>
          <w:szCs w:val="32"/>
        </w:rPr>
        <w:t>负责投资项目、企业注册、市场服务、公共事务、文教体卫、社会事务、住建交通、环保城管、农林畜水、</w:t>
      </w:r>
      <w:r>
        <w:rPr>
          <w:rFonts w:hint="eastAsia" w:ascii="仿宋_GB2312" w:hAnsi="仿宋_GB2312" w:eastAsia="仿宋_GB2312" w:cs="仿宋_GB2312"/>
          <w:color w:val="000000"/>
          <w:sz w:val="32"/>
          <w:szCs w:val="32"/>
          <w:shd w:val="clear" w:color="auto" w:fill="FFFFFF"/>
        </w:rPr>
        <w:t>经贸商务</w:t>
      </w:r>
      <w:r>
        <w:rPr>
          <w:rFonts w:hint="eastAsia" w:ascii="仿宋_GB2312" w:hAnsi="仿宋_GB2312" w:eastAsia="仿宋_GB2312" w:cs="仿宋_GB2312"/>
          <w:color w:val="000000"/>
          <w:sz w:val="32"/>
          <w:szCs w:val="32"/>
        </w:rPr>
        <w:t>等方面</w:t>
      </w:r>
      <w:r>
        <w:rPr>
          <w:rFonts w:hint="eastAsia" w:ascii="仿宋_GB2312" w:hAnsi="仿宋_GB2312" w:eastAsia="仿宋_GB2312" w:cs="仿宋_GB2312"/>
          <w:color w:val="000000"/>
          <w:sz w:val="32"/>
          <w:szCs w:val="32"/>
          <w:shd w:val="clear" w:color="auto" w:fill="FFFFFF"/>
        </w:rPr>
        <w:t>行政审批事项的办理及相关行政性收费，并承担相应的法律责任。</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（三）</w:t>
      </w:r>
      <w:r>
        <w:rPr>
          <w:rFonts w:hint="eastAsia" w:ascii="仿宋_GB2312" w:hAnsi="仿宋" w:eastAsia="仿宋_GB2312"/>
          <w:sz w:val="32"/>
          <w:szCs w:val="32"/>
        </w:rPr>
        <w:t>负责对划入的行政审批事项进行流程再造、环节优化。</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（四）</w:t>
      </w:r>
      <w:r>
        <w:rPr>
          <w:rFonts w:hint="eastAsia" w:ascii="仿宋_GB2312" w:hAnsi="仿宋" w:eastAsia="仿宋_GB2312"/>
          <w:sz w:val="32"/>
          <w:szCs w:val="32"/>
        </w:rPr>
        <w:t>负责与监管部门的联系沟通。探索建立审批与监管的有效衔接机制。</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（五）</w:t>
      </w:r>
      <w:r>
        <w:rPr>
          <w:rFonts w:hint="eastAsia" w:ascii="仿宋_GB2312" w:hAnsi="仿宋" w:eastAsia="仿宋_GB2312"/>
          <w:sz w:val="32"/>
          <w:szCs w:val="32"/>
        </w:rPr>
        <w:t>负责依法组织和实施对全县行政机关、事业单位和社会团体委托的货物、工程、服务等项目的政府采购工作。</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（六）</w:t>
      </w:r>
      <w:r>
        <w:rPr>
          <w:rFonts w:hint="eastAsia" w:ascii="仿宋_GB2312" w:hAnsi="仿宋" w:eastAsia="仿宋_GB2312"/>
          <w:sz w:val="32"/>
          <w:szCs w:val="32"/>
        </w:rPr>
        <w:t>负责行政审批大厅的建设和管理，负责对入驻行政审批大厅的行政审批行为进行规范、监督和管理，对行政审批窗口工作人员进行教育、培训、管理和绩效考核。</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（七）</w:t>
      </w:r>
      <w:r>
        <w:rPr>
          <w:rFonts w:hint="eastAsia" w:ascii="仿宋_GB2312" w:hAnsi="仿宋" w:eastAsia="仿宋_GB2312"/>
          <w:sz w:val="32"/>
          <w:szCs w:val="32"/>
        </w:rPr>
        <w:t>负责对公共服务、便民服务、公共资源交易和中介服务进行规范和管理。</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（八）</w:t>
      </w:r>
      <w:r>
        <w:rPr>
          <w:rFonts w:hint="eastAsia" w:ascii="仿宋_GB2312" w:hAnsi="仿宋" w:eastAsia="仿宋_GB2312"/>
          <w:sz w:val="32"/>
          <w:szCs w:val="32"/>
        </w:rPr>
        <w:t>负责推进行政审批、公共服务、中介服务和公共资源交易信息化建设。</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（九）</w:t>
      </w:r>
      <w:r>
        <w:rPr>
          <w:rFonts w:hint="eastAsia" w:ascii="仿宋_GB2312" w:hAnsi="仿宋" w:eastAsia="仿宋_GB2312"/>
          <w:sz w:val="32"/>
          <w:szCs w:val="32"/>
        </w:rPr>
        <w:t>负责对进入行政审批大厅的行政审批、公共资源交易活动及其他政务服务等事项的投诉举报的承办、转办和督办工作。</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（十）</w:t>
      </w:r>
      <w:r>
        <w:rPr>
          <w:rFonts w:hint="eastAsia" w:ascii="仿宋_GB2312" w:hAnsi="仿宋" w:eastAsia="仿宋_GB2312"/>
          <w:sz w:val="32"/>
          <w:szCs w:val="32"/>
        </w:rPr>
        <w:t>承办县委、县政府交办的其他工作。</w:t>
      </w:r>
    </w:p>
    <w:p>
      <w:pPr>
        <w:ind w:firstLine="630" w:firstLineChars="196"/>
        <w:jc w:val="left"/>
        <w:rPr>
          <w:rFonts w:asciiTheme="majorEastAsia" w:hAnsiTheme="majorEastAsia" w:eastAsiaTheme="majorEastAsia"/>
          <w:b/>
          <w:sz w:val="32"/>
          <w:szCs w:val="32"/>
        </w:rPr>
      </w:pPr>
      <w:r>
        <w:rPr>
          <w:rFonts w:hint="eastAsia" w:asciiTheme="majorEastAsia" w:hAnsiTheme="majorEastAsia" w:eastAsiaTheme="majorEastAsia"/>
          <w:b/>
          <w:sz w:val="32"/>
          <w:szCs w:val="32"/>
        </w:rPr>
        <w:t>二、机构设置</w:t>
      </w:r>
    </w:p>
    <w:tbl>
      <w:tblPr>
        <w:tblStyle w:val="8"/>
        <w:tblW w:w="946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2977"/>
        <w:gridCol w:w="1777"/>
        <w:gridCol w:w="1625"/>
        <w:gridCol w:w="22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30" w:hRule="atLeast"/>
        </w:trPr>
        <w:tc>
          <w:tcPr>
            <w:tcW w:w="817" w:type="dxa"/>
            <w:vAlign w:val="center"/>
          </w:tcPr>
          <w:p>
            <w:pPr>
              <w:spacing w:line="400" w:lineRule="exact"/>
              <w:jc w:val="center"/>
              <w:rPr>
                <w:rFonts w:ascii="仿宋" w:hAnsi="仿宋" w:eastAsia="仿宋"/>
                <w:sz w:val="30"/>
                <w:szCs w:val="30"/>
              </w:rPr>
            </w:pPr>
            <w:r>
              <w:rPr>
                <w:rFonts w:hint="eastAsia" w:ascii="仿宋" w:hAnsi="仿宋" w:eastAsia="仿宋"/>
                <w:sz w:val="30"/>
                <w:szCs w:val="30"/>
              </w:rPr>
              <w:t>序号</w:t>
            </w:r>
          </w:p>
        </w:tc>
        <w:tc>
          <w:tcPr>
            <w:tcW w:w="2977" w:type="dxa"/>
            <w:vAlign w:val="center"/>
          </w:tcPr>
          <w:p>
            <w:pPr>
              <w:spacing w:line="400" w:lineRule="exact"/>
              <w:jc w:val="center"/>
              <w:rPr>
                <w:rFonts w:ascii="仿宋" w:hAnsi="仿宋" w:eastAsia="仿宋"/>
                <w:sz w:val="30"/>
                <w:szCs w:val="30"/>
              </w:rPr>
            </w:pPr>
            <w:r>
              <w:rPr>
                <w:rFonts w:hint="eastAsia" w:ascii="仿宋" w:hAnsi="仿宋" w:eastAsia="仿宋"/>
                <w:sz w:val="30"/>
                <w:szCs w:val="30"/>
              </w:rPr>
              <w:t>单位名称</w:t>
            </w:r>
          </w:p>
        </w:tc>
        <w:tc>
          <w:tcPr>
            <w:tcW w:w="1777" w:type="dxa"/>
            <w:vAlign w:val="center"/>
          </w:tcPr>
          <w:p>
            <w:pPr>
              <w:spacing w:line="400" w:lineRule="exact"/>
              <w:jc w:val="center"/>
              <w:rPr>
                <w:rFonts w:ascii="仿宋" w:hAnsi="仿宋" w:eastAsia="仿宋"/>
                <w:sz w:val="30"/>
                <w:szCs w:val="30"/>
              </w:rPr>
            </w:pPr>
            <w:r>
              <w:rPr>
                <w:rFonts w:hint="eastAsia" w:ascii="仿宋" w:hAnsi="仿宋" w:eastAsia="仿宋"/>
                <w:sz w:val="30"/>
                <w:szCs w:val="30"/>
              </w:rPr>
              <w:t>单位性质</w:t>
            </w:r>
          </w:p>
        </w:tc>
        <w:tc>
          <w:tcPr>
            <w:tcW w:w="1625" w:type="dxa"/>
            <w:vAlign w:val="center"/>
          </w:tcPr>
          <w:p>
            <w:pPr>
              <w:spacing w:line="400" w:lineRule="exact"/>
              <w:jc w:val="center"/>
              <w:rPr>
                <w:rFonts w:ascii="仿宋" w:hAnsi="仿宋" w:eastAsia="仿宋"/>
                <w:sz w:val="30"/>
                <w:szCs w:val="30"/>
              </w:rPr>
            </w:pPr>
            <w:r>
              <w:rPr>
                <w:rFonts w:hint="eastAsia" w:ascii="仿宋" w:hAnsi="仿宋" w:eastAsia="仿宋"/>
                <w:sz w:val="30"/>
                <w:szCs w:val="30"/>
              </w:rPr>
              <w:t>单位规格</w:t>
            </w:r>
          </w:p>
        </w:tc>
        <w:tc>
          <w:tcPr>
            <w:tcW w:w="2268" w:type="dxa"/>
            <w:vAlign w:val="center"/>
          </w:tcPr>
          <w:p>
            <w:pPr>
              <w:spacing w:line="400" w:lineRule="exact"/>
              <w:jc w:val="center"/>
              <w:rPr>
                <w:rFonts w:ascii="仿宋" w:hAnsi="仿宋" w:eastAsia="仿宋"/>
                <w:sz w:val="30"/>
                <w:szCs w:val="30"/>
              </w:rPr>
            </w:pPr>
            <w:r>
              <w:rPr>
                <w:rFonts w:hint="eastAsia" w:ascii="仿宋" w:hAnsi="仿宋" w:eastAsia="仿宋"/>
                <w:sz w:val="30"/>
                <w:szCs w:val="30"/>
              </w:rPr>
              <w:t>经费保障形式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09" w:hRule="atLeast"/>
        </w:trPr>
        <w:tc>
          <w:tcPr>
            <w:tcW w:w="817" w:type="dxa"/>
            <w:vAlign w:val="center"/>
          </w:tcPr>
          <w:p>
            <w:pPr>
              <w:jc w:val="center"/>
              <w:rPr>
                <w:rFonts w:ascii="仿宋" w:hAnsi="仿宋" w:eastAsia="仿宋"/>
                <w:sz w:val="30"/>
                <w:szCs w:val="30"/>
              </w:rPr>
            </w:pPr>
            <w:r>
              <w:rPr>
                <w:rFonts w:hint="eastAsia" w:ascii="仿宋" w:hAnsi="仿宋" w:eastAsia="仿宋"/>
                <w:sz w:val="30"/>
                <w:szCs w:val="30"/>
              </w:rPr>
              <w:t>1</w:t>
            </w:r>
          </w:p>
        </w:tc>
        <w:tc>
          <w:tcPr>
            <w:tcW w:w="2977" w:type="dxa"/>
            <w:vAlign w:val="center"/>
          </w:tcPr>
          <w:p>
            <w:pPr>
              <w:jc w:val="center"/>
              <w:rPr>
                <w:rFonts w:ascii="仿宋" w:hAnsi="仿宋" w:eastAsia="仿宋"/>
                <w:sz w:val="30"/>
                <w:szCs w:val="30"/>
              </w:rPr>
            </w:pPr>
            <w:r>
              <w:rPr>
                <w:rFonts w:hint="eastAsia" w:ascii="仿宋" w:hAnsi="仿宋" w:eastAsia="仿宋"/>
                <w:sz w:val="30"/>
                <w:szCs w:val="30"/>
              </w:rPr>
              <w:t>曲阳县行政审批局</w:t>
            </w:r>
          </w:p>
        </w:tc>
        <w:tc>
          <w:tcPr>
            <w:tcW w:w="1777" w:type="dxa"/>
            <w:vAlign w:val="center"/>
          </w:tcPr>
          <w:p>
            <w:pPr>
              <w:jc w:val="center"/>
              <w:rPr>
                <w:rFonts w:ascii="仿宋" w:hAnsi="仿宋" w:eastAsia="仿宋"/>
                <w:sz w:val="30"/>
                <w:szCs w:val="30"/>
              </w:rPr>
            </w:pPr>
            <w:r>
              <w:rPr>
                <w:rFonts w:hint="eastAsia" w:ascii="仿宋" w:hAnsi="仿宋" w:eastAsia="仿宋"/>
                <w:sz w:val="30"/>
                <w:szCs w:val="30"/>
              </w:rPr>
              <w:t>行政</w:t>
            </w:r>
          </w:p>
        </w:tc>
        <w:tc>
          <w:tcPr>
            <w:tcW w:w="1625" w:type="dxa"/>
            <w:vAlign w:val="center"/>
          </w:tcPr>
          <w:p>
            <w:pPr>
              <w:jc w:val="center"/>
              <w:rPr>
                <w:rFonts w:ascii="仿宋" w:hAnsi="仿宋" w:eastAsia="仿宋"/>
                <w:sz w:val="30"/>
                <w:szCs w:val="30"/>
              </w:rPr>
            </w:pPr>
            <w:r>
              <w:rPr>
                <w:rFonts w:hint="eastAsia" w:ascii="仿宋" w:hAnsi="仿宋" w:eastAsia="仿宋"/>
                <w:sz w:val="30"/>
                <w:szCs w:val="30"/>
              </w:rPr>
              <w:t>正科级</w:t>
            </w:r>
          </w:p>
        </w:tc>
        <w:tc>
          <w:tcPr>
            <w:tcW w:w="2268" w:type="dxa"/>
            <w:vAlign w:val="center"/>
          </w:tcPr>
          <w:p>
            <w:pPr>
              <w:jc w:val="center"/>
              <w:rPr>
                <w:rFonts w:ascii="仿宋" w:hAnsi="仿宋" w:eastAsia="仿宋"/>
                <w:sz w:val="30"/>
                <w:szCs w:val="30"/>
              </w:rPr>
            </w:pPr>
            <w:r>
              <w:rPr>
                <w:rFonts w:hint="eastAsia" w:ascii="仿宋" w:hAnsi="仿宋" w:eastAsia="仿宋"/>
                <w:sz w:val="30"/>
                <w:szCs w:val="30"/>
              </w:rPr>
              <w:t>财政拨款</w:t>
            </w:r>
          </w:p>
        </w:tc>
      </w:tr>
    </w:tbl>
    <w:p>
      <w:pPr>
        <w:ind w:firstLine="630" w:firstLineChars="196"/>
        <w:jc w:val="left"/>
        <w:rPr>
          <w:rFonts w:asciiTheme="majorEastAsia" w:hAnsiTheme="majorEastAsia" w:eastAsiaTheme="majorEastAsia"/>
          <w:b/>
          <w:sz w:val="32"/>
          <w:szCs w:val="32"/>
        </w:rPr>
      </w:pPr>
    </w:p>
    <w:p>
      <w:pPr>
        <w:jc w:val="center"/>
        <w:rPr>
          <w:rFonts w:hint="eastAsia" w:asciiTheme="majorEastAsia" w:hAnsiTheme="majorEastAsia" w:eastAsiaTheme="majorEastAsia"/>
          <w:b/>
          <w:sz w:val="36"/>
          <w:szCs w:val="36"/>
        </w:rPr>
      </w:pPr>
      <w:r>
        <w:rPr>
          <w:rFonts w:hint="eastAsia" w:asciiTheme="majorEastAsia" w:hAnsiTheme="majorEastAsia" w:eastAsiaTheme="majorEastAsia"/>
          <w:b/>
          <w:sz w:val="36"/>
          <w:szCs w:val="36"/>
        </w:rPr>
        <w:t>第二部分：绩效预算信息</w:t>
      </w:r>
    </w:p>
    <w:p>
      <w:pPr>
        <w:ind w:firstLine="723" w:firstLineChars="200"/>
        <w:jc w:val="both"/>
        <w:rPr>
          <w:rFonts w:hint="eastAsia" w:asciiTheme="majorEastAsia" w:hAnsiTheme="majorEastAsia" w:eastAsiaTheme="majorEastAsia"/>
          <w:b/>
          <w:sz w:val="36"/>
          <w:szCs w:val="36"/>
          <w:lang w:eastAsia="zh-CN"/>
        </w:rPr>
      </w:pPr>
      <w:r>
        <w:rPr>
          <w:rFonts w:hint="eastAsia" w:asciiTheme="majorEastAsia" w:hAnsiTheme="majorEastAsia" w:eastAsiaTheme="majorEastAsia"/>
          <w:b/>
          <w:sz w:val="36"/>
          <w:szCs w:val="36"/>
          <w:lang w:eastAsia="zh-CN"/>
        </w:rPr>
        <w:t>一、总体绩效目标：</w:t>
      </w:r>
    </w:p>
    <w:p>
      <w:pPr>
        <w:pStyle w:val="14"/>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jc w:val="both"/>
        <w:rPr>
          <w:rFonts w:hint="eastAsia"/>
          <w:sz w:val="32"/>
        </w:rPr>
      </w:pPr>
      <w:r>
        <w:rPr>
          <w:rFonts w:hint="eastAsia" w:asciiTheme="majorEastAsia" w:hAnsiTheme="majorEastAsia" w:eastAsiaTheme="majorEastAsia" w:cstheme="majorEastAsia"/>
          <w:b/>
          <w:sz w:val="32"/>
          <w:szCs w:val="32"/>
          <w:lang w:val="en-US" w:eastAsia="zh-CN"/>
        </w:rPr>
        <w:t xml:space="preserve">    </w:t>
      </w:r>
      <w:r>
        <w:rPr>
          <w:rFonts w:hint="eastAsia" w:asciiTheme="majorEastAsia" w:hAnsiTheme="majorEastAsia" w:eastAsiaTheme="majorEastAsia" w:cstheme="majorEastAsia"/>
          <w:b/>
          <w:sz w:val="32"/>
          <w:szCs w:val="32"/>
        </w:rPr>
        <w:t>发展规划目标</w:t>
      </w:r>
      <w:r>
        <w:rPr>
          <w:rFonts w:hint="eastAsia" w:asciiTheme="majorEastAsia" w:hAnsiTheme="majorEastAsia" w:eastAsiaTheme="majorEastAsia" w:cstheme="majorEastAsia"/>
          <w:b/>
          <w:sz w:val="32"/>
          <w:szCs w:val="32"/>
          <w:lang w:eastAsia="zh-CN"/>
        </w:rPr>
        <w:t>：</w:t>
      </w:r>
    </w:p>
    <w:p>
      <w:pPr>
        <w:pStyle w:val="14"/>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560" w:lineRule="exact"/>
        <w:rPr>
          <w:rFonts w:hint="eastAsia" w:ascii="仿宋" w:hAnsi="仿宋" w:eastAsia="仿宋" w:cs="仿宋"/>
          <w:sz w:val="32"/>
        </w:rPr>
      </w:pPr>
      <w:r>
        <w:rPr>
          <w:rFonts w:hint="eastAsia"/>
          <w:sz w:val="32"/>
        </w:rPr>
        <w:t xml:space="preserve"> </w:t>
      </w:r>
      <w:r>
        <w:rPr>
          <w:rFonts w:hint="eastAsia" w:ascii="华文仿宋" w:hAnsi="华文仿宋" w:eastAsia="华文仿宋"/>
          <w:sz w:val="32"/>
        </w:rPr>
        <w:t xml:space="preserve">   </w:t>
      </w:r>
      <w:r>
        <w:rPr>
          <w:rFonts w:hint="eastAsia" w:ascii="仿宋" w:hAnsi="仿宋" w:eastAsia="仿宋" w:cs="仿宋"/>
          <w:sz w:val="32"/>
        </w:rPr>
        <w:t>曲阳县行政审批局成立于2017年11月16日，其前身是曲阳县政务服务中心。按照部门职责工作活动列表，特制定2018年我局发展规划目标如下：</w:t>
      </w:r>
    </w:p>
    <w:p>
      <w:pPr>
        <w:pStyle w:val="14"/>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560" w:lineRule="exact"/>
        <w:ind w:firstLine="630"/>
        <w:rPr>
          <w:rFonts w:hint="eastAsia" w:ascii="仿宋" w:hAnsi="仿宋" w:eastAsia="仿宋" w:cs="仿宋"/>
          <w:b/>
          <w:bCs/>
          <w:sz w:val="32"/>
        </w:rPr>
      </w:pPr>
      <w:r>
        <w:rPr>
          <w:rFonts w:hint="eastAsia" w:ascii="仿宋" w:hAnsi="仿宋" w:eastAsia="仿宋" w:cs="仿宋"/>
          <w:b/>
          <w:bCs/>
          <w:sz w:val="32"/>
          <w:lang w:eastAsia="zh-CN"/>
        </w:rPr>
        <w:t>（</w:t>
      </w:r>
      <w:r>
        <w:rPr>
          <w:rFonts w:hint="eastAsia" w:ascii="仿宋" w:hAnsi="仿宋" w:eastAsia="仿宋" w:cs="仿宋"/>
          <w:b/>
          <w:bCs/>
          <w:sz w:val="32"/>
        </w:rPr>
        <w:t>一</w:t>
      </w:r>
      <w:r>
        <w:rPr>
          <w:rFonts w:hint="eastAsia" w:ascii="仿宋" w:hAnsi="仿宋" w:eastAsia="仿宋" w:cs="仿宋"/>
          <w:b/>
          <w:bCs/>
          <w:sz w:val="32"/>
          <w:lang w:eastAsia="zh-CN"/>
        </w:rPr>
        <w:t>）</w:t>
      </w:r>
      <w:r>
        <w:rPr>
          <w:rFonts w:hint="eastAsia" w:ascii="仿宋" w:hAnsi="仿宋" w:eastAsia="仿宋" w:cs="仿宋"/>
          <w:b/>
          <w:bCs/>
          <w:sz w:val="32"/>
        </w:rPr>
        <w:t>总体目标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560" w:lineRule="exact"/>
        <w:ind w:firstLine="640"/>
        <w:rPr>
          <w:rFonts w:hint="eastAsia" w:ascii="仿宋" w:hAnsi="仿宋" w:eastAsia="仿宋" w:cs="仿宋"/>
          <w:color w:val="000000"/>
          <w:sz w:val="32"/>
        </w:rPr>
      </w:pPr>
      <w:r>
        <w:rPr>
          <w:rFonts w:hint="eastAsia" w:ascii="仿宋" w:hAnsi="仿宋" w:eastAsia="仿宋" w:cs="仿宋"/>
          <w:color w:val="333333"/>
          <w:sz w:val="32"/>
        </w:rPr>
        <w:t>目前，</w:t>
      </w:r>
      <w:r>
        <w:rPr>
          <w:rFonts w:hint="eastAsia" w:ascii="仿宋" w:hAnsi="仿宋" w:eastAsia="仿宋" w:cs="仿宋"/>
          <w:sz w:val="32"/>
        </w:rPr>
        <w:t>第一批由原市场监管局承担的11项行政审批事项、8名公务员正式划转到行政审批局，标志着“一窗式受理、一章式审批、一网式运行、一站式服务”的政务服务新时代的开始。</w:t>
      </w:r>
      <w:r>
        <w:rPr>
          <w:rFonts w:hint="eastAsia" w:ascii="仿宋" w:hAnsi="仿宋" w:eastAsia="仿宋" w:cs="仿宋"/>
          <w:color w:val="000000"/>
          <w:sz w:val="32"/>
        </w:rPr>
        <w:t>其余事项正在逐项梳理，明年225项审批事项将全部划转到位。</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560" w:lineRule="exact"/>
        <w:ind w:firstLine="640"/>
        <w:rPr>
          <w:rFonts w:hint="eastAsia" w:ascii="仿宋" w:hAnsi="仿宋" w:eastAsia="仿宋" w:cs="仿宋"/>
          <w:color w:val="333333"/>
          <w:sz w:val="32"/>
        </w:rPr>
      </w:pPr>
      <w:r>
        <w:rPr>
          <w:rFonts w:hint="eastAsia" w:ascii="仿宋" w:hAnsi="仿宋" w:eastAsia="仿宋" w:cs="仿宋"/>
          <w:sz w:val="32"/>
        </w:rPr>
        <w:t>按照中央省市深化行政审批制度改革要求，深入贯彻执行法律法规和行政审批制度改革政策措施，负责行使对20个部门所承担的225项行政许可相关职责。深化行政审批制度改革，创新行政审批管理体制，从源头上遏制腐败的发生，加快政府转变职能，出于便民为民，践行党全心全意为人民服务的宗旨，做好各项行政审批工作。</w:t>
      </w:r>
    </w:p>
    <w:p>
      <w:pPr>
        <w:pStyle w:val="14"/>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560" w:lineRule="exact"/>
        <w:rPr>
          <w:rFonts w:hint="eastAsia" w:ascii="仿宋" w:hAnsi="仿宋" w:eastAsia="仿宋" w:cs="仿宋"/>
          <w:b/>
          <w:bCs/>
          <w:sz w:val="32"/>
        </w:rPr>
      </w:pPr>
      <w:r>
        <w:rPr>
          <w:rFonts w:hint="eastAsia" w:ascii="仿宋" w:hAnsi="仿宋" w:eastAsia="仿宋" w:cs="仿宋"/>
          <w:b/>
          <w:bCs/>
          <w:sz w:val="32"/>
          <w:lang w:val="en-US" w:eastAsia="zh-CN"/>
        </w:rPr>
        <w:t xml:space="preserve">    （二）</w:t>
      </w:r>
      <w:r>
        <w:rPr>
          <w:rFonts w:hint="eastAsia" w:ascii="仿宋" w:hAnsi="仿宋" w:eastAsia="仿宋" w:cs="仿宋"/>
          <w:b/>
          <w:bCs/>
          <w:sz w:val="32"/>
        </w:rPr>
        <w:t>加强理论知识和业务知识学习。</w:t>
      </w:r>
    </w:p>
    <w:p>
      <w:pPr>
        <w:pStyle w:val="14"/>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560" w:lineRule="exact"/>
        <w:ind w:firstLine="630"/>
        <w:rPr>
          <w:rFonts w:hint="eastAsia" w:ascii="仿宋" w:hAnsi="仿宋" w:eastAsia="仿宋" w:cs="仿宋"/>
          <w:sz w:val="32"/>
        </w:rPr>
      </w:pPr>
      <w:r>
        <w:rPr>
          <w:rFonts w:hint="eastAsia" w:ascii="仿宋" w:hAnsi="仿宋" w:eastAsia="仿宋" w:cs="仿宋"/>
          <w:sz w:val="32"/>
        </w:rPr>
        <w:t>认真学习贯彻党的十九大精神和县委、县政府有关部署和要求，深入学习党章和习近平总书记</w:t>
      </w:r>
      <w:r>
        <w:rPr>
          <w:rFonts w:hint="eastAsia" w:ascii="仿宋" w:hAnsi="仿宋" w:eastAsia="仿宋" w:cs="仿宋"/>
          <w:sz w:val="32"/>
          <w:lang w:eastAsia="zh-CN"/>
        </w:rPr>
        <w:t>系列重要</w:t>
      </w:r>
      <w:r>
        <w:rPr>
          <w:rFonts w:hint="eastAsia" w:ascii="仿宋" w:hAnsi="仿宋" w:eastAsia="仿宋" w:cs="仿宋"/>
          <w:sz w:val="32"/>
        </w:rPr>
        <w:t>讲话精神，坚决反对形式主义、官僚主义、享乐主义和奢靡之风，着力解决影响和制约政务服务科学发展的问题和群众反映强烈的突出问题，实现政务服务加快升级。深入学习各项业务知识，学习相关法律法规政策，加强业务知识培训，走出去，请进来，组织业务人员到先进县市参观学习，聘请专业人员进行培训，全面提高理论知识和业务水平。</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560" w:lineRule="exact"/>
        <w:ind w:firstLine="641"/>
        <w:rPr>
          <w:rFonts w:hint="eastAsia" w:ascii="仿宋" w:hAnsi="仿宋" w:eastAsia="仿宋" w:cs="仿宋"/>
          <w:b/>
          <w:bCs/>
          <w:sz w:val="32"/>
        </w:rPr>
      </w:pPr>
      <w:r>
        <w:rPr>
          <w:rFonts w:hint="eastAsia" w:ascii="仿宋" w:hAnsi="仿宋" w:eastAsia="仿宋" w:cs="仿宋"/>
          <w:b/>
          <w:bCs/>
          <w:sz w:val="32"/>
          <w:lang w:eastAsia="zh-CN"/>
        </w:rPr>
        <w:t>（</w:t>
      </w:r>
      <w:r>
        <w:rPr>
          <w:rFonts w:hint="eastAsia" w:ascii="仿宋" w:hAnsi="仿宋" w:eastAsia="仿宋" w:cs="仿宋"/>
          <w:b/>
          <w:bCs/>
          <w:sz w:val="32"/>
        </w:rPr>
        <w:t>三</w:t>
      </w:r>
      <w:r>
        <w:rPr>
          <w:rFonts w:hint="eastAsia" w:ascii="仿宋" w:hAnsi="仿宋" w:eastAsia="仿宋" w:cs="仿宋"/>
          <w:b/>
          <w:bCs/>
          <w:sz w:val="32"/>
          <w:lang w:eastAsia="zh-CN"/>
        </w:rPr>
        <w:t>）</w:t>
      </w:r>
      <w:r>
        <w:rPr>
          <w:rFonts w:hint="eastAsia" w:ascii="仿宋" w:hAnsi="仿宋" w:eastAsia="仿宋" w:cs="仿宋"/>
          <w:b/>
          <w:bCs/>
          <w:sz w:val="32"/>
        </w:rPr>
        <w:t xml:space="preserve">加快事项和人员划转工作。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560" w:lineRule="exact"/>
        <w:ind w:firstLine="641"/>
        <w:rPr>
          <w:rFonts w:hint="eastAsia" w:ascii="仿宋" w:hAnsi="仿宋" w:eastAsia="仿宋" w:cs="仿宋"/>
          <w:sz w:val="32"/>
        </w:rPr>
      </w:pPr>
      <w:r>
        <w:rPr>
          <w:rFonts w:hint="eastAsia" w:ascii="仿宋" w:hAnsi="仿宋" w:eastAsia="仿宋" w:cs="仿宋"/>
          <w:sz w:val="32"/>
        </w:rPr>
        <w:t>严格按照划转方案时间节点要求，加大工作协调力度，积极与相关部门领导沟通，把事项和人员划转工作作为“一把手”工程列入重要议事日程，协调部门提前对本部门行政许可事项进行梳理汇总，形成划转清单，做好审批资料的整理，确保按省、市和县委、县政府的要求完成行政审批事项和人员的划转。</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560" w:lineRule="exact"/>
        <w:ind w:firstLine="641"/>
        <w:rPr>
          <w:rFonts w:hint="eastAsia" w:ascii="仿宋" w:hAnsi="仿宋" w:eastAsia="仿宋" w:cs="仿宋"/>
          <w:b/>
          <w:bCs/>
          <w:sz w:val="32"/>
        </w:rPr>
      </w:pPr>
      <w:r>
        <w:rPr>
          <w:rFonts w:hint="eastAsia" w:ascii="仿宋" w:hAnsi="仿宋" w:eastAsia="仿宋" w:cs="仿宋"/>
          <w:b/>
          <w:bCs/>
          <w:sz w:val="32"/>
          <w:lang w:eastAsia="zh-CN"/>
        </w:rPr>
        <w:t>（</w:t>
      </w:r>
      <w:r>
        <w:rPr>
          <w:rFonts w:hint="eastAsia" w:ascii="仿宋" w:hAnsi="仿宋" w:eastAsia="仿宋" w:cs="仿宋"/>
          <w:b/>
          <w:bCs/>
          <w:sz w:val="32"/>
        </w:rPr>
        <w:t>四</w:t>
      </w:r>
      <w:r>
        <w:rPr>
          <w:rFonts w:hint="eastAsia" w:ascii="仿宋" w:hAnsi="仿宋" w:eastAsia="仿宋" w:cs="仿宋"/>
          <w:b/>
          <w:bCs/>
          <w:sz w:val="32"/>
          <w:lang w:eastAsia="zh-CN"/>
        </w:rPr>
        <w:t>）</w:t>
      </w:r>
      <w:r>
        <w:rPr>
          <w:rFonts w:hint="eastAsia" w:ascii="仿宋" w:hAnsi="仿宋" w:eastAsia="仿宋" w:cs="仿宋"/>
          <w:b/>
          <w:bCs/>
          <w:sz w:val="32"/>
        </w:rPr>
        <w:t>加强行政审批队伍建设。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560" w:lineRule="exact"/>
        <w:ind w:firstLine="641"/>
        <w:rPr>
          <w:rFonts w:hint="eastAsia" w:ascii="仿宋" w:hAnsi="仿宋" w:eastAsia="仿宋" w:cs="仿宋"/>
          <w:b/>
          <w:sz w:val="32"/>
        </w:rPr>
      </w:pPr>
      <w:r>
        <w:rPr>
          <w:rFonts w:hint="eastAsia" w:ascii="仿宋" w:hAnsi="仿宋" w:eastAsia="仿宋" w:cs="仿宋"/>
          <w:sz w:val="32"/>
        </w:rPr>
        <w:t>进一步细化局机关服务制度、管理制度，加强监督和管理，坚持以制度管理人、引导人、规范人，不断细化考核要求，提高考核标准，明晰考核内容，加大对业务窗口人员的管理，全面提升行政审批局的服务形象，充分调动全体工作人员的积极性、主动性、创造性，把行政审批局建设成为优质高效、热情服务，公平、公正、公开、温馨和谐的“一站式”服务平台，打造一支坚强有力、团结协作、服务优良的行政审批队伍。</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560" w:lineRule="exact"/>
        <w:ind w:firstLine="641"/>
        <w:rPr>
          <w:rFonts w:hint="eastAsia" w:ascii="仿宋" w:hAnsi="仿宋" w:eastAsia="仿宋" w:cs="仿宋"/>
          <w:b/>
          <w:bCs/>
          <w:sz w:val="32"/>
        </w:rPr>
      </w:pPr>
      <w:r>
        <w:rPr>
          <w:rFonts w:hint="eastAsia" w:ascii="仿宋" w:hAnsi="仿宋" w:eastAsia="仿宋" w:cs="仿宋"/>
          <w:b/>
          <w:bCs/>
          <w:sz w:val="32"/>
          <w:lang w:eastAsia="zh-CN"/>
        </w:rPr>
        <w:t>（五）</w:t>
      </w:r>
      <w:r>
        <w:rPr>
          <w:rFonts w:hint="eastAsia" w:ascii="仿宋" w:hAnsi="仿宋" w:eastAsia="仿宋" w:cs="仿宋"/>
          <w:b/>
          <w:bCs/>
          <w:sz w:val="32"/>
        </w:rPr>
        <w:t>提升政务服务水平。</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560" w:lineRule="exact"/>
        <w:ind w:firstLine="641"/>
        <w:rPr>
          <w:rFonts w:hint="eastAsia" w:ascii="仿宋" w:hAnsi="仿宋" w:eastAsia="仿宋" w:cs="仿宋"/>
          <w:sz w:val="32"/>
        </w:rPr>
      </w:pPr>
      <w:r>
        <w:rPr>
          <w:rFonts w:hint="eastAsia" w:ascii="仿宋" w:hAnsi="仿宋" w:eastAsia="仿宋" w:cs="仿宋"/>
          <w:b/>
          <w:sz w:val="32"/>
        </w:rPr>
        <w:t>一是落实好政策法律法规。</w:t>
      </w:r>
      <w:r>
        <w:rPr>
          <w:rFonts w:hint="eastAsia" w:ascii="仿宋" w:hAnsi="仿宋" w:eastAsia="仿宋" w:cs="仿宋"/>
          <w:sz w:val="32"/>
        </w:rPr>
        <w:t>根据法律、法规、规章的颁布、修订、废止和部门职能变化情况，以及国务院、省市政府简政放权工作的进程，及时跟进，统筹落实，切实增强工作针对性、时效性和协调性。</w:t>
      </w:r>
      <w:r>
        <w:rPr>
          <w:rFonts w:hint="eastAsia" w:ascii="仿宋" w:hAnsi="仿宋" w:eastAsia="仿宋" w:cs="仿宋"/>
          <w:b/>
          <w:sz w:val="32"/>
        </w:rPr>
        <w:t>二是制定好审批服务流程。</w:t>
      </w:r>
      <w:r>
        <w:rPr>
          <w:rFonts w:hint="eastAsia" w:ascii="仿宋" w:hAnsi="仿宋" w:eastAsia="仿宋" w:cs="仿宋"/>
          <w:sz w:val="32"/>
        </w:rPr>
        <w:t>按照“一门受理、抄告相关、并联审批、限时办结”的工作机制，理顺审批流程，最大限度方便企业群众。</w:t>
      </w:r>
      <w:r>
        <w:rPr>
          <w:rFonts w:hint="eastAsia" w:ascii="仿宋" w:hAnsi="仿宋" w:eastAsia="仿宋" w:cs="仿宋"/>
          <w:b/>
          <w:sz w:val="32"/>
        </w:rPr>
        <w:t>三是搭建好三级服务平台。</w:t>
      </w:r>
      <w:r>
        <w:rPr>
          <w:rFonts w:hint="eastAsia" w:ascii="仿宋" w:hAnsi="仿宋" w:eastAsia="仿宋" w:cs="仿宋"/>
          <w:sz w:val="32"/>
        </w:rPr>
        <w:t>在政务大厅实现全覆盖、全方位的“一站式”服务，特别是按照“互联网+政务服务”要求，全面建成县乡村“三级平台、两个代办”网络服务工作，梳理网上办理服务事项，最大限度做到“小事不出村，大事不出乡”，“让数据多跑路，群众少跑腿”，“服务群众零距离”目标。</w:t>
      </w:r>
      <w:r>
        <w:rPr>
          <w:rFonts w:hint="eastAsia" w:ascii="仿宋" w:hAnsi="仿宋" w:eastAsia="仿宋" w:cs="仿宋"/>
          <w:b/>
          <w:sz w:val="32"/>
        </w:rPr>
        <w:t>四是优化好政务服务环境</w:t>
      </w:r>
      <w:r>
        <w:rPr>
          <w:rFonts w:hint="eastAsia" w:ascii="仿宋" w:hAnsi="仿宋" w:eastAsia="仿宋" w:cs="仿宋"/>
          <w:sz w:val="32"/>
        </w:rPr>
        <w:t>。全面执行行政审批“两集中、两到位”，进一步提高部门和事项进驻率、行政审批首席代表授权率、人员按要求派驻到位率，强化窗口的服务功能，真正做到有事办、能办事、办成事。全面加快“多证合一”改革进度，确保改革措施尽快落地。</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560" w:lineRule="exact"/>
        <w:ind w:firstLine="640"/>
        <w:rPr>
          <w:rFonts w:hint="eastAsia" w:ascii="仿宋" w:hAnsi="仿宋" w:eastAsia="仿宋" w:cs="仿宋"/>
          <w:b/>
          <w:bCs/>
          <w:sz w:val="32"/>
        </w:rPr>
      </w:pPr>
      <w:r>
        <w:rPr>
          <w:rFonts w:hint="eastAsia" w:ascii="仿宋" w:hAnsi="仿宋" w:eastAsia="仿宋" w:cs="仿宋"/>
          <w:b/>
          <w:bCs/>
          <w:sz w:val="32"/>
          <w:lang w:eastAsia="zh-CN"/>
        </w:rPr>
        <w:t>（六）</w:t>
      </w:r>
      <w:r>
        <w:rPr>
          <w:rFonts w:hint="eastAsia" w:ascii="仿宋" w:hAnsi="仿宋" w:eastAsia="仿宋" w:cs="仿宋"/>
          <w:b/>
          <w:bCs/>
          <w:sz w:val="32"/>
        </w:rPr>
        <w:t>完善公共资源交易平台建设。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560" w:lineRule="exact"/>
        <w:ind w:firstLine="640"/>
        <w:rPr>
          <w:rFonts w:hint="eastAsia" w:ascii="仿宋" w:hAnsi="仿宋" w:eastAsia="仿宋" w:cs="仿宋"/>
          <w:sz w:val="32"/>
        </w:rPr>
      </w:pPr>
      <w:r>
        <w:rPr>
          <w:rFonts w:hint="eastAsia" w:ascii="仿宋" w:hAnsi="仿宋" w:eastAsia="仿宋" w:cs="仿宋"/>
          <w:sz w:val="32"/>
        </w:rPr>
        <w:t>抓好场所和服务设施建设；建好一支交易队伍，组织好交易活动进场，落实好交易规费执收到位；建立好公共资源交易中心网站，实行网上报名,为今后网上评标做好基础工作；建立健全档案管理制度；健全和完善交易市场的管理运行机制，规范交易活动，促进公平竞争。</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560" w:lineRule="exact"/>
        <w:ind w:firstLine="641"/>
        <w:rPr>
          <w:rFonts w:hint="eastAsia" w:ascii="仿宋" w:hAnsi="仿宋" w:eastAsia="仿宋" w:cs="仿宋"/>
          <w:b/>
          <w:bCs/>
          <w:sz w:val="32"/>
        </w:rPr>
      </w:pPr>
      <w:r>
        <w:rPr>
          <w:rFonts w:hint="eastAsia" w:ascii="仿宋" w:hAnsi="仿宋" w:eastAsia="仿宋" w:cs="仿宋"/>
          <w:b/>
          <w:bCs/>
          <w:sz w:val="32"/>
          <w:lang w:eastAsia="zh-CN"/>
        </w:rPr>
        <w:t>（七）</w:t>
      </w:r>
      <w:r>
        <w:rPr>
          <w:rFonts w:hint="eastAsia" w:ascii="仿宋" w:hAnsi="仿宋" w:eastAsia="仿宋" w:cs="仿宋"/>
          <w:b/>
          <w:bCs/>
          <w:sz w:val="32"/>
        </w:rPr>
        <w:t>发挥文化艺术中心宣传阵地作用。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560" w:lineRule="exact"/>
        <w:ind w:firstLine="641"/>
        <w:rPr>
          <w:rFonts w:hint="eastAsia" w:ascii="仿宋" w:hAnsi="仿宋" w:eastAsia="仿宋" w:cs="仿宋"/>
          <w:sz w:val="32"/>
        </w:rPr>
      </w:pPr>
      <w:r>
        <w:rPr>
          <w:rFonts w:hint="eastAsia" w:ascii="仿宋" w:hAnsi="仿宋" w:eastAsia="仿宋" w:cs="仿宋"/>
          <w:sz w:val="32"/>
        </w:rPr>
        <w:t>文化艺术中心是充分展示曲阳文化、曲阳形象的新窗口，是曲阳对外交流的新客厅。2018年，将严格按照县委、县政府的工作部署，全力做好开馆前的各项准备工作，同时，做好解说员和网络员的管理和培训，确保文化艺术中心发挥好宣传阵地作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560" w:lineRule="exact"/>
        <w:ind w:firstLine="641"/>
        <w:rPr>
          <w:rFonts w:hint="eastAsia" w:ascii="仿宋" w:hAnsi="仿宋" w:eastAsia="仿宋" w:cs="仿宋"/>
          <w:b/>
          <w:bCs/>
          <w:sz w:val="32"/>
        </w:rPr>
      </w:pPr>
      <w:r>
        <w:rPr>
          <w:rFonts w:hint="eastAsia" w:ascii="仿宋" w:hAnsi="仿宋" w:eastAsia="仿宋" w:cs="仿宋"/>
          <w:b/>
          <w:bCs/>
          <w:sz w:val="32"/>
          <w:lang w:eastAsia="zh-CN"/>
        </w:rPr>
        <w:t>（八）</w:t>
      </w:r>
      <w:r>
        <w:rPr>
          <w:rFonts w:hint="eastAsia" w:ascii="仿宋" w:hAnsi="仿宋" w:eastAsia="仿宋" w:cs="仿宋"/>
          <w:b/>
          <w:bCs/>
          <w:sz w:val="32"/>
        </w:rPr>
        <w:t>做好全县各级会务保障工作。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560" w:lineRule="exact"/>
        <w:ind w:firstLine="641"/>
        <w:rPr>
          <w:rFonts w:hint="eastAsia" w:ascii="仿宋" w:hAnsi="仿宋" w:eastAsia="仿宋" w:cs="仿宋"/>
          <w:sz w:val="32"/>
        </w:rPr>
      </w:pPr>
      <w:r>
        <w:rPr>
          <w:rFonts w:hint="eastAsia" w:ascii="仿宋" w:hAnsi="仿宋" w:eastAsia="仿宋" w:cs="仿宋"/>
          <w:sz w:val="32"/>
        </w:rPr>
        <w:t>做好大会议室和三个小会议维护维修工作，加强管理，专人负责，切实保障全县各级会务的顺利召开。</w:t>
      </w:r>
    </w:p>
    <w:p>
      <w:pPr>
        <w:ind w:firstLine="643" w:firstLineChars="200"/>
        <w:jc w:val="left"/>
        <w:rPr>
          <w:rFonts w:hint="eastAsia" w:asciiTheme="majorEastAsia" w:hAnsiTheme="majorEastAsia" w:eastAsiaTheme="majorEastAsia" w:cstheme="majorEastAsia"/>
          <w:b/>
          <w:kern w:val="0"/>
          <w:sz w:val="32"/>
          <w:szCs w:val="32"/>
          <w:lang w:val="en-US" w:eastAsia="zh-CN" w:bidi="zh-CN"/>
        </w:rPr>
      </w:pPr>
      <w:r>
        <w:rPr>
          <w:rFonts w:hint="eastAsia" w:asciiTheme="majorEastAsia" w:hAnsiTheme="majorEastAsia" w:eastAsiaTheme="majorEastAsia" w:cstheme="majorEastAsia"/>
          <w:b/>
          <w:kern w:val="0"/>
          <w:sz w:val="32"/>
          <w:szCs w:val="32"/>
          <w:lang w:val="en-US" w:eastAsia="zh-CN" w:bidi="zh-CN"/>
        </w:rPr>
        <w:t>部门职责分类绩效目标情况：</w:t>
      </w:r>
    </w:p>
    <w:p>
      <w:pPr>
        <w:pStyle w:val="14"/>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560" w:lineRule="exact"/>
        <w:jc w:val="both"/>
        <w:rPr>
          <w:rFonts w:ascii="仿宋" w:hAnsi="仿宋" w:eastAsia="仿宋"/>
          <w:b/>
          <w:sz w:val="32"/>
          <w:szCs w:val="32"/>
        </w:rPr>
      </w:pPr>
      <w:r>
        <w:rPr>
          <w:rFonts w:hint="eastAsia" w:ascii="仿宋" w:hAnsi="仿宋" w:eastAsia="仿宋" w:cs="仿宋"/>
          <w:b/>
          <w:sz w:val="32"/>
          <w:szCs w:val="32"/>
          <w:lang w:val="en-US" w:eastAsia="zh-CN"/>
        </w:rPr>
        <w:t xml:space="preserve">    （一）</w:t>
      </w:r>
      <w:r>
        <w:rPr>
          <w:rFonts w:ascii="仿宋" w:hAnsi="仿宋" w:eastAsia="仿宋"/>
          <w:b/>
          <w:sz w:val="32"/>
          <w:szCs w:val="32"/>
        </w:rPr>
        <w:t>组织推进依法行政</w:t>
      </w:r>
      <w:r>
        <w:rPr>
          <w:rFonts w:hint="eastAsia" w:ascii="仿宋" w:hAnsi="仿宋" w:eastAsia="仿宋"/>
          <w:b/>
          <w:sz w:val="32"/>
          <w:szCs w:val="32"/>
        </w:rPr>
        <w:t>。</w:t>
      </w:r>
    </w:p>
    <w:p>
      <w:pPr>
        <w:spacing w:line="500" w:lineRule="exact"/>
        <w:ind w:firstLine="640" w:firstLineChars="200"/>
        <w:rPr>
          <w:rFonts w:ascii="仿宋" w:hAnsi="仿宋" w:eastAsia="仿宋"/>
          <w:sz w:val="32"/>
          <w:szCs w:val="32"/>
        </w:rPr>
      </w:pPr>
      <w:r>
        <w:rPr>
          <w:rFonts w:ascii="仿宋" w:hAnsi="仿宋" w:eastAsia="仿宋"/>
          <w:sz w:val="32"/>
          <w:szCs w:val="32"/>
        </w:rPr>
        <w:t>通过对入驻行政审批大厅的行政审批工作进行规范、监督和管理，对行政审批窗口工作人员进行教育、培训、管理及绩效考核，确保培训计划按期完成，以提升工作人员素质，提高办事效率。不断加强对进入行政审批大厅的行政审批、公共资源交易活动及其他政务服务等事项投诉举报的承办、转办和督办工作，使政府采购更加规范。业务办理更加及时，业务处理及时率达到95%。</w:t>
      </w:r>
    </w:p>
    <w:p>
      <w:pPr>
        <w:spacing w:line="500" w:lineRule="exact"/>
        <w:ind w:firstLine="626" w:firstLineChars="195"/>
        <w:rPr>
          <w:rFonts w:ascii="仿宋" w:hAnsi="仿宋" w:eastAsia="仿宋"/>
          <w:b/>
          <w:sz w:val="32"/>
          <w:szCs w:val="32"/>
        </w:rPr>
      </w:pPr>
      <w:r>
        <w:rPr>
          <w:rFonts w:hint="eastAsia" w:ascii="仿宋" w:hAnsi="仿宋" w:eastAsia="仿宋"/>
          <w:b/>
          <w:sz w:val="32"/>
          <w:szCs w:val="32"/>
        </w:rPr>
        <w:t>（二）</w:t>
      </w:r>
      <w:r>
        <w:rPr>
          <w:rFonts w:ascii="仿宋" w:hAnsi="仿宋" w:eastAsia="仿宋"/>
          <w:b/>
          <w:sz w:val="32"/>
          <w:szCs w:val="32"/>
        </w:rPr>
        <w:t>政府法制综合业务管理</w:t>
      </w:r>
      <w:r>
        <w:rPr>
          <w:rFonts w:hint="eastAsia" w:ascii="仿宋" w:hAnsi="仿宋" w:eastAsia="仿宋"/>
          <w:b/>
          <w:sz w:val="32"/>
          <w:szCs w:val="32"/>
        </w:rPr>
        <w:t>。</w:t>
      </w:r>
    </w:p>
    <w:p>
      <w:pPr>
        <w:spacing w:line="500" w:lineRule="exact"/>
        <w:ind w:firstLine="560"/>
        <w:rPr>
          <w:rFonts w:ascii="仿宋" w:hAnsi="仿宋" w:eastAsia="仿宋"/>
          <w:sz w:val="32"/>
          <w:szCs w:val="32"/>
        </w:rPr>
      </w:pPr>
      <w:r>
        <w:rPr>
          <w:rFonts w:ascii="仿宋" w:hAnsi="仿宋" w:eastAsia="仿宋"/>
          <w:sz w:val="32"/>
          <w:szCs w:val="32"/>
        </w:rPr>
        <w:t>根据曲阳县人民政府办公室关于印发《曲阳县行政审批局主要职责内设机构和人员编制方案》的通知，曲阳县人民政府办公室[2017]曲府办156号文件，曲阳县行政审批局于2017年11月16日正式成立，按照“成熟一批、划转一批”的原则，采取“先简后繁”、“由易至难”的方法，将县政府办公室、财政局、发改局、市场监督管理局等 20个部门（机构）承担的225项行政审批事项及相关事项划入县行政审批局。为更好的发挥行政审批的作用，更好的服务人民群众，打造全县文明服务窗口，争创五星级窗口单位。</w:t>
      </w:r>
    </w:p>
    <w:p>
      <w:pPr>
        <w:spacing w:line="500" w:lineRule="exact"/>
        <w:ind w:firstLine="560"/>
        <w:rPr>
          <w:rFonts w:ascii="仿宋" w:hAnsi="仿宋" w:eastAsia="仿宋"/>
          <w:sz w:val="32"/>
          <w:szCs w:val="32"/>
        </w:rPr>
      </w:pPr>
      <w:r>
        <w:rPr>
          <w:rFonts w:ascii="仿宋" w:hAnsi="仿宋" w:eastAsia="仿宋"/>
          <w:sz w:val="32"/>
          <w:szCs w:val="32"/>
        </w:rPr>
        <w:t>严格审批事项，做好各项审批工作，确保行政审批工作的规范性，连续性和稳定性，对行政审批事项进行流程再造、环节优化，减少审批流程，对办事群众一条龙办理，让办事群众基础办理更便捷，使业务处理更加及时，业务办理达到100%。</w:t>
      </w:r>
    </w:p>
    <w:p>
      <w:pPr>
        <w:spacing w:line="500" w:lineRule="exact"/>
        <w:ind w:firstLine="787" w:firstLineChars="245"/>
        <w:rPr>
          <w:rFonts w:ascii="仿宋" w:hAnsi="仿宋" w:eastAsia="仿宋"/>
          <w:b/>
          <w:sz w:val="32"/>
          <w:szCs w:val="32"/>
        </w:rPr>
      </w:pPr>
      <w:r>
        <w:rPr>
          <w:rFonts w:hint="eastAsia" w:ascii="仿宋" w:hAnsi="仿宋" w:eastAsia="仿宋"/>
          <w:b/>
          <w:sz w:val="32"/>
          <w:szCs w:val="32"/>
        </w:rPr>
        <w:t>（三）</w:t>
      </w:r>
      <w:r>
        <w:rPr>
          <w:rFonts w:ascii="仿宋" w:hAnsi="仿宋" w:eastAsia="仿宋"/>
          <w:b/>
          <w:sz w:val="32"/>
          <w:szCs w:val="32"/>
        </w:rPr>
        <w:t>政府办公室政务管理</w:t>
      </w:r>
    </w:p>
    <w:p>
      <w:pPr>
        <w:spacing w:line="500" w:lineRule="exact"/>
        <w:ind w:firstLine="560"/>
        <w:rPr>
          <w:rFonts w:ascii="仿宋" w:hAnsi="仿宋" w:eastAsia="仿宋"/>
          <w:sz w:val="32"/>
          <w:szCs w:val="32"/>
        </w:rPr>
      </w:pPr>
      <w:r>
        <w:rPr>
          <w:rFonts w:ascii="仿宋" w:hAnsi="仿宋" w:eastAsia="仿宋"/>
          <w:sz w:val="32"/>
          <w:szCs w:val="32"/>
        </w:rPr>
        <w:t xml:space="preserve"> 加强对文、会议、机要、信息、宣传、接待、信访、提案保密等行政事务的管理，对我单位工作人员进行教育培训和绩效考核；高质量审核公文，让领导满意；及时办理各类文电，确保事项在第一时间得到县领导批示意见；高质量起草的县领导重要讲话及重要文稿。</w:t>
      </w:r>
    </w:p>
    <w:p>
      <w:pPr>
        <w:spacing w:line="500" w:lineRule="exact"/>
        <w:ind w:firstLine="560"/>
        <w:rPr>
          <w:rFonts w:ascii="仿宋" w:hAnsi="仿宋" w:eastAsia="仿宋"/>
          <w:sz w:val="32"/>
          <w:szCs w:val="32"/>
        </w:rPr>
      </w:pPr>
      <w:r>
        <w:rPr>
          <w:rFonts w:ascii="仿宋" w:hAnsi="仿宋" w:eastAsia="仿宋"/>
          <w:sz w:val="32"/>
          <w:szCs w:val="32"/>
        </w:rPr>
        <w:t>以服务领导和机关保障有力为目标，优质后勤管理水平，通过加强公车管理，降低运行成本，为创建节约型机关打下了良好的基础。以提高办公经费节省率。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560" w:lineRule="exact"/>
        <w:ind w:firstLine="641"/>
        <w:rPr>
          <w:rFonts w:hint="eastAsia"/>
          <w:b/>
          <w:sz w:val="44"/>
        </w:rPr>
      </w:pPr>
      <w:r>
        <w:rPr>
          <w:rFonts w:hint="eastAsia" w:asciiTheme="majorEastAsia" w:hAnsiTheme="majorEastAsia" w:eastAsiaTheme="majorEastAsia" w:cstheme="majorEastAsia"/>
          <w:b/>
          <w:sz w:val="32"/>
          <w:szCs w:val="32"/>
          <w:lang w:val="en-US" w:eastAsia="zh-CN"/>
        </w:rPr>
        <w:t xml:space="preserve"> 实现本部门</w:t>
      </w:r>
      <w:r>
        <w:rPr>
          <w:rFonts w:hint="eastAsia" w:asciiTheme="majorEastAsia" w:hAnsiTheme="majorEastAsia" w:eastAsiaTheme="majorEastAsia" w:cstheme="majorEastAsia"/>
          <w:b/>
          <w:sz w:val="32"/>
          <w:szCs w:val="32"/>
        </w:rPr>
        <w:t>发展规划目标的保障措施</w:t>
      </w:r>
      <w:r>
        <w:rPr>
          <w:rFonts w:hint="eastAsia" w:asciiTheme="majorEastAsia" w:hAnsiTheme="majorEastAsia" w:eastAsiaTheme="majorEastAsia" w:cstheme="majorEastAsia"/>
          <w:b/>
          <w:sz w:val="32"/>
          <w:szCs w:val="32"/>
          <w:lang w:eastAsia="zh-CN"/>
        </w:rPr>
        <w:t>：</w:t>
      </w:r>
    </w:p>
    <w:p>
      <w:pPr>
        <w:pStyle w:val="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540" w:lineRule="exact"/>
        <w:ind w:firstLine="640"/>
        <w:rPr>
          <w:rFonts w:hint="eastAsia" w:ascii="仿宋" w:hAnsi="仿宋" w:eastAsia="仿宋" w:cs="仿宋"/>
          <w:sz w:val="32"/>
        </w:rPr>
      </w:pPr>
      <w:r>
        <w:rPr>
          <w:rFonts w:hint="eastAsia" w:ascii="仿宋" w:hAnsi="仿宋" w:eastAsia="仿宋" w:cs="仿宋"/>
          <w:sz w:val="32"/>
        </w:rPr>
        <w:t>为切实实现2018年度发展规划目标，特制定以下保障措施：</w:t>
      </w:r>
    </w:p>
    <w:p>
      <w:pPr>
        <w:pStyle w:val="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540" w:lineRule="exact"/>
        <w:ind w:firstLine="641"/>
        <w:rPr>
          <w:rFonts w:hint="eastAsia" w:ascii="仿宋" w:hAnsi="仿宋" w:eastAsia="仿宋" w:cs="仿宋"/>
          <w:sz w:val="32"/>
        </w:rPr>
      </w:pPr>
      <w:r>
        <w:rPr>
          <w:rFonts w:hint="eastAsia" w:ascii="仿宋" w:hAnsi="仿宋" w:eastAsia="仿宋" w:cs="仿宋"/>
          <w:b/>
          <w:sz w:val="32"/>
          <w:lang w:eastAsia="zh-CN"/>
        </w:rPr>
        <w:t>（一）</w:t>
      </w:r>
      <w:r>
        <w:rPr>
          <w:rFonts w:hint="eastAsia" w:ascii="仿宋" w:hAnsi="仿宋" w:eastAsia="仿宋" w:cs="仿宋"/>
          <w:b/>
          <w:sz w:val="32"/>
        </w:rPr>
        <w:t>成立组织。</w:t>
      </w:r>
      <w:r>
        <w:rPr>
          <w:rFonts w:hint="eastAsia" w:ascii="仿宋" w:hAnsi="仿宋" w:eastAsia="仿宋" w:cs="仿宋"/>
          <w:sz w:val="32"/>
        </w:rPr>
        <w:t>成立年度工作保障领导小组，组长由局长担任，副组长由分管副局长担任，成员由各科室负责人组成。领导小组下设办公室，办公室主任由局办公室主任担任，具体负责发展规划目标的督导落实。</w:t>
      </w:r>
    </w:p>
    <w:p>
      <w:pPr>
        <w:pStyle w:val="14"/>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540" w:lineRule="exact"/>
        <w:ind w:firstLine="641"/>
        <w:rPr>
          <w:rFonts w:hint="eastAsia" w:ascii="仿宋" w:hAnsi="仿宋" w:eastAsia="仿宋" w:cs="仿宋"/>
          <w:sz w:val="32"/>
        </w:rPr>
      </w:pPr>
      <w:r>
        <w:rPr>
          <w:rFonts w:hint="eastAsia" w:ascii="仿宋" w:hAnsi="仿宋" w:eastAsia="仿宋" w:cs="仿宋"/>
          <w:b/>
          <w:sz w:val="32"/>
        </w:rPr>
        <w:t>（二）明确任务。一是</w:t>
      </w:r>
      <w:r>
        <w:rPr>
          <w:rFonts w:hint="eastAsia" w:ascii="仿宋" w:hAnsi="仿宋" w:eastAsia="仿宋" w:cs="仿宋"/>
          <w:sz w:val="32"/>
        </w:rPr>
        <w:t>按照规定程序对行政审批事项进行要件审核、技术认证、社会听证、现场勘查等工作，对符合规定条件的</w:t>
      </w:r>
      <w:r>
        <w:rPr>
          <w:rFonts w:hint="eastAsia" w:ascii="仿宋" w:hAnsi="仿宋" w:eastAsia="仿宋" w:cs="仿宋"/>
          <w:sz w:val="32"/>
          <w:lang w:eastAsia="zh-CN"/>
        </w:rPr>
        <w:t>行政审批</w:t>
      </w:r>
      <w:r>
        <w:rPr>
          <w:rFonts w:hint="eastAsia" w:ascii="仿宋" w:hAnsi="仿宋" w:eastAsia="仿宋" w:cs="仿宋"/>
          <w:sz w:val="32"/>
        </w:rPr>
        <w:t xml:space="preserve">事项进行批准、签章、发文或发件，并将办理规定时限内告知申请人。 </w:t>
      </w:r>
      <w:r>
        <w:rPr>
          <w:rFonts w:hint="eastAsia" w:ascii="仿宋" w:hAnsi="仿宋" w:eastAsia="仿宋" w:cs="仿宋"/>
          <w:b/>
          <w:sz w:val="32"/>
        </w:rPr>
        <w:t>二是</w:t>
      </w:r>
      <w:r>
        <w:rPr>
          <w:rFonts w:hint="eastAsia" w:ascii="仿宋" w:hAnsi="仿宋" w:eastAsia="仿宋" w:cs="仿宋"/>
          <w:sz w:val="32"/>
        </w:rPr>
        <w:t>完成全县县、乡、村三级政务服务信息化建设、网上许可、行政许可中介服务和信息公开，建立健全电子监察系统及其管理。</w:t>
      </w:r>
      <w:r>
        <w:rPr>
          <w:rFonts w:hint="eastAsia" w:ascii="仿宋" w:hAnsi="仿宋" w:eastAsia="仿宋" w:cs="仿宋"/>
          <w:b/>
          <w:sz w:val="32"/>
        </w:rPr>
        <w:t>三是</w:t>
      </w:r>
      <w:r>
        <w:rPr>
          <w:rFonts w:hint="eastAsia" w:ascii="仿宋" w:hAnsi="仿宋" w:eastAsia="仿宋" w:cs="仿宋"/>
          <w:sz w:val="32"/>
        </w:rPr>
        <w:t>组织对行政审批人员的宣传、教育、培训，提高行政人员的业务能力、工作效率，加强科研和文化建设。</w:t>
      </w:r>
      <w:r>
        <w:rPr>
          <w:rFonts w:hint="eastAsia" w:ascii="仿宋" w:hAnsi="仿宋" w:eastAsia="仿宋" w:cs="仿宋"/>
          <w:b/>
          <w:sz w:val="32"/>
        </w:rPr>
        <w:t>四是</w:t>
      </w:r>
      <w:r>
        <w:rPr>
          <w:rFonts w:hint="eastAsia" w:ascii="仿宋" w:hAnsi="仿宋" w:eastAsia="仿宋" w:cs="仿宋"/>
          <w:sz w:val="32"/>
        </w:rPr>
        <w:t>按照省市要求，积极公共资源交易市场建设各项工作，落实省市公共资源交易关政策。对照《河北省公共资源交易市场监督管理办法》、《河北省公共资源交易市场运行规则》、《河北省公共资源交易目录》，会同关关部门类交易项目的管理制度、行为收费标准，根据省、市有关制度，制订公共资源交易规则及制度。</w:t>
      </w:r>
    </w:p>
    <w:p>
      <w:pPr>
        <w:pStyle w:val="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540" w:lineRule="exact"/>
        <w:ind w:firstLine="641"/>
        <w:rPr>
          <w:rFonts w:hint="eastAsia" w:ascii="仿宋" w:hAnsi="仿宋" w:eastAsia="仿宋" w:cs="仿宋"/>
          <w:sz w:val="32"/>
        </w:rPr>
      </w:pPr>
      <w:r>
        <w:rPr>
          <w:rFonts w:hint="eastAsia" w:ascii="仿宋" w:hAnsi="仿宋" w:eastAsia="仿宋" w:cs="仿宋"/>
          <w:b/>
          <w:sz w:val="32"/>
        </w:rPr>
        <w:t>（三）加强督导。局督查室对各项工作的进展情况进行督导，</w:t>
      </w:r>
      <w:r>
        <w:rPr>
          <w:rFonts w:hint="eastAsia" w:ascii="仿宋" w:hAnsi="仿宋" w:eastAsia="仿宋" w:cs="仿宋"/>
          <w:sz w:val="32"/>
        </w:rPr>
        <w:t>对思想不重视、制度不执行、工作落实不到位等原因造成工作落后等问题，局机关将严格按照规定处理。</w:t>
      </w:r>
    </w:p>
    <w:p>
      <w:pPr>
        <w:pStyle w:val="14"/>
        <w:widowControl/>
        <w:spacing w:beforeLines="0" w:afterLines="0"/>
        <w:rPr>
          <w:rFonts w:hint="eastAsia" w:ascii="华文仿宋" w:hAnsi="华文仿宋" w:eastAsia="华文仿宋"/>
          <w:sz w:val="32"/>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560" w:lineRule="exact"/>
        <w:ind w:firstLine="641"/>
        <w:rPr>
          <w:rFonts w:hint="eastAsia" w:ascii="仿宋" w:hAnsi="仿宋" w:eastAsia="仿宋" w:cs="仿宋"/>
          <w:sz w:val="32"/>
          <w:lang w:eastAsia="zh-CN"/>
        </w:rPr>
      </w:pPr>
    </w:p>
    <w:p>
      <w:pPr>
        <w:pStyle w:val="14"/>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560" w:lineRule="exact"/>
        <w:rPr>
          <w:rFonts w:hint="eastAsia" w:ascii="华文仿宋" w:hAnsi="华文仿宋" w:eastAsia="华文仿宋"/>
          <w:sz w:val="32"/>
        </w:rPr>
      </w:pPr>
      <w:r>
        <w:rPr>
          <w:rFonts w:hint="eastAsia" w:ascii="华文仿宋" w:hAnsi="华文仿宋" w:eastAsia="华文仿宋"/>
          <w:sz w:val="32"/>
        </w:rPr>
        <w:t xml:space="preserve">   </w:t>
      </w:r>
    </w:p>
    <w:p>
      <w:pPr>
        <w:pStyle w:val="14"/>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560" w:lineRule="exact"/>
        <w:rPr>
          <w:rFonts w:hint="eastAsia" w:ascii="华文仿宋" w:hAnsi="华文仿宋" w:eastAsia="华文仿宋"/>
          <w:sz w:val="32"/>
        </w:rPr>
      </w:pPr>
      <w:r>
        <w:rPr>
          <w:rFonts w:hint="eastAsia" w:ascii="华文仿宋" w:hAnsi="华文仿宋" w:eastAsia="华文仿宋"/>
          <w:sz w:val="32"/>
        </w:rPr>
        <w:t xml:space="preserve">                                                                              </w:t>
      </w:r>
    </w:p>
    <w:p>
      <w:pPr>
        <w:pStyle w:val="14"/>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560" w:lineRule="exact"/>
        <w:rPr>
          <w:rFonts w:hint="eastAsia" w:ascii="华文仿宋" w:hAnsi="华文仿宋" w:eastAsia="华文仿宋"/>
          <w:sz w:val="32"/>
        </w:rPr>
      </w:pPr>
      <w:r>
        <w:rPr>
          <w:rFonts w:hint="eastAsia" w:ascii="华文仿宋" w:hAnsi="华文仿宋" w:eastAsia="华文仿宋"/>
          <w:sz w:val="32"/>
        </w:rPr>
        <w:t xml:space="preserve">    </w:t>
      </w:r>
    </w:p>
    <w:p>
      <w:pPr>
        <w:pStyle w:val="14"/>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line="560" w:lineRule="exact"/>
        <w:rPr>
          <w:rFonts w:hint="eastAsia" w:ascii="华文仿宋" w:hAnsi="华文仿宋" w:eastAsia="华文仿宋"/>
          <w:sz w:val="32"/>
        </w:rPr>
      </w:pPr>
    </w:p>
    <w:p>
      <w:pPr>
        <w:pStyle w:val="14"/>
        <w:widowControl/>
        <w:spacing w:beforeLines="0" w:afterLines="0"/>
        <w:rPr>
          <w:rFonts w:hint="eastAsia" w:ascii="华文仿宋" w:hAnsi="华文仿宋" w:eastAsia="华文仿宋"/>
          <w:sz w:val="32"/>
        </w:rPr>
      </w:pPr>
    </w:p>
    <w:p>
      <w:pPr>
        <w:spacing w:line="500" w:lineRule="exact"/>
        <w:ind w:firstLine="560"/>
        <w:rPr>
          <w:rFonts w:hint="eastAsia" w:ascii="仿宋" w:hAnsi="仿宋" w:eastAsia="仿宋"/>
          <w:sz w:val="32"/>
          <w:szCs w:val="32"/>
          <w:lang w:eastAsia="zh-CN"/>
        </w:rPr>
      </w:pPr>
    </w:p>
    <w:p>
      <w:pPr>
        <w:ind w:firstLine="420" w:firstLineChars="200"/>
        <w:jc w:val="left"/>
        <w:sectPr>
          <w:pgSz w:w="11907" w:h="16839"/>
          <w:pgMar w:top="1531" w:right="1418" w:bottom="1474" w:left="1418" w:header="851" w:footer="992" w:gutter="0"/>
          <w:cols w:space="425" w:num="1"/>
          <w:docGrid w:type="lines" w:linePitch="312" w:charSpace="0"/>
        </w:sectPr>
      </w:pPr>
    </w:p>
    <w:p>
      <w:pPr>
        <w:ind w:firstLine="640" w:firstLineChars="200"/>
        <w:jc w:val="center"/>
        <w:outlineLvl w:val="0"/>
        <w:rPr>
          <w:rFonts w:ascii="方正小标宋_GBK" w:eastAsia="方正小标宋_GBK"/>
          <w:sz w:val="32"/>
        </w:rPr>
      </w:pPr>
      <w:bookmarkStart w:id="0" w:name="_Toc508012942"/>
      <w:r>
        <w:rPr>
          <w:rFonts w:hint="eastAsia" w:ascii="方正小标宋_GBK" w:eastAsia="方正小标宋_GBK"/>
          <w:sz w:val="32"/>
          <w:lang w:eastAsia="zh-CN"/>
        </w:rPr>
        <w:t>二、</w:t>
      </w:r>
      <w:r>
        <w:rPr>
          <w:rFonts w:hint="eastAsia" w:ascii="方正小标宋_GBK" w:eastAsia="方正小标宋_GBK"/>
          <w:sz w:val="32"/>
        </w:rPr>
        <w:t>部门职责-工作活动绩效目标</w:t>
      </w:r>
      <w:bookmarkEnd w:id="0"/>
    </w:p>
    <w:tbl>
      <w:tblPr>
        <w:tblStyle w:val="7"/>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ind w:firstLine="480" w:firstLineChars="200"/>
              <w:jc w:val="left"/>
              <w:rPr>
                <w:rFonts w:ascii="方正小标宋_GBK" w:eastAsia="方正小标宋_GBK"/>
                <w:sz w:val="24"/>
              </w:rPr>
            </w:pPr>
            <w:r>
              <w:rPr>
                <w:rFonts w:ascii="方正小标宋_GBK" w:eastAsia="方正小标宋_GBK"/>
                <w:sz w:val="24"/>
              </w:rPr>
              <w:t>310</w:t>
            </w:r>
            <w:r>
              <w:rPr>
                <w:rFonts w:hint="eastAsia" w:ascii="方正小标宋_GBK" w:eastAsia="方正小标宋_GBK"/>
                <w:sz w:val="24"/>
              </w:rPr>
              <w:t>曲阳县行政审批局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ind w:firstLine="480" w:firstLineChars="200"/>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ind w:firstLine="422" w:firstLineChars="200"/>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ind w:firstLine="422" w:firstLineChars="200"/>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ind w:firstLine="422" w:firstLineChars="200"/>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ind w:firstLine="422" w:firstLineChars="200"/>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ind w:firstLine="422" w:firstLineChars="200"/>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ind w:firstLine="422" w:firstLineChars="200"/>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ind w:firstLine="420" w:firstLineChars="200"/>
              <w:jc w:val="left"/>
              <w:outlineLvl w:val="0"/>
            </w:pPr>
          </w:p>
        </w:tc>
        <w:tc>
          <w:tcPr>
            <w:tcW w:w="1276" w:type="dxa"/>
            <w:vMerge w:val="continue"/>
            <w:shd w:val="clear" w:color="auto" w:fill="auto"/>
            <w:vAlign w:val="center"/>
          </w:tcPr>
          <w:p>
            <w:pPr>
              <w:ind w:firstLine="420" w:firstLineChars="200"/>
              <w:jc w:val="left"/>
              <w:outlineLvl w:val="0"/>
            </w:pPr>
          </w:p>
        </w:tc>
        <w:tc>
          <w:tcPr>
            <w:tcW w:w="2976" w:type="dxa"/>
            <w:vMerge w:val="continue"/>
            <w:shd w:val="clear" w:color="auto" w:fill="auto"/>
            <w:vAlign w:val="center"/>
          </w:tcPr>
          <w:p>
            <w:pPr>
              <w:ind w:firstLine="420" w:firstLineChars="200"/>
              <w:jc w:val="left"/>
              <w:outlineLvl w:val="0"/>
            </w:pPr>
          </w:p>
        </w:tc>
        <w:tc>
          <w:tcPr>
            <w:tcW w:w="2976" w:type="dxa"/>
            <w:vMerge w:val="continue"/>
            <w:shd w:val="clear" w:color="auto" w:fill="auto"/>
            <w:vAlign w:val="center"/>
          </w:tcPr>
          <w:p>
            <w:pPr>
              <w:ind w:firstLine="420" w:firstLineChars="200"/>
              <w:jc w:val="left"/>
              <w:outlineLvl w:val="0"/>
            </w:pPr>
          </w:p>
        </w:tc>
        <w:tc>
          <w:tcPr>
            <w:tcW w:w="1417" w:type="dxa"/>
            <w:vMerge w:val="continue"/>
            <w:shd w:val="clear" w:color="auto" w:fill="auto"/>
            <w:vAlign w:val="center"/>
          </w:tcPr>
          <w:p>
            <w:pPr>
              <w:ind w:firstLine="420" w:firstLineChars="200"/>
              <w:jc w:val="left"/>
              <w:outlineLvl w:val="0"/>
            </w:pPr>
          </w:p>
        </w:tc>
        <w:tc>
          <w:tcPr>
            <w:tcW w:w="737" w:type="dxa"/>
            <w:shd w:val="clear" w:color="auto" w:fill="auto"/>
            <w:vAlign w:val="center"/>
          </w:tcPr>
          <w:p>
            <w:pPr>
              <w:ind w:firstLine="422" w:firstLineChars="200"/>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ind w:firstLine="422" w:firstLineChars="200"/>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ind w:firstLine="422" w:firstLineChars="200"/>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ind w:firstLine="422" w:firstLineChars="200"/>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ind w:firstLine="422" w:firstLineChars="200"/>
              <w:jc w:val="left"/>
              <w:rPr>
                <w:rFonts w:ascii="方正书宋_GBK" w:eastAsia="方正书宋_GBK"/>
                <w:b/>
              </w:rPr>
            </w:pPr>
            <w:r>
              <w:rPr>
                <w:rFonts w:hint="eastAsia" w:ascii="方正书宋_GBK" w:eastAsia="方正书宋_GBK"/>
                <w:b/>
              </w:rPr>
              <w:t>一、组织推进依法行政</w:t>
            </w:r>
          </w:p>
        </w:tc>
        <w:tc>
          <w:tcPr>
            <w:tcW w:w="1276" w:type="dxa"/>
            <w:shd w:val="clear" w:color="auto" w:fill="auto"/>
            <w:vAlign w:val="center"/>
          </w:tcPr>
          <w:p>
            <w:pPr>
              <w:ind w:firstLine="420" w:firstLineChars="200"/>
              <w:jc w:val="left"/>
              <w:rPr>
                <w:rFonts w:ascii="方正书宋_GBK" w:eastAsia="方正书宋_GBK"/>
              </w:rPr>
            </w:pPr>
          </w:p>
        </w:tc>
        <w:tc>
          <w:tcPr>
            <w:tcW w:w="2976" w:type="dxa"/>
            <w:shd w:val="clear" w:color="auto" w:fill="auto"/>
            <w:vAlign w:val="center"/>
          </w:tcPr>
          <w:p>
            <w:pPr>
              <w:ind w:firstLine="420" w:firstLineChars="200"/>
              <w:jc w:val="left"/>
              <w:rPr>
                <w:rFonts w:ascii="方正书宋_GBK" w:eastAsia="方正书宋_GBK"/>
              </w:rPr>
            </w:pPr>
            <w:r>
              <w:rPr>
                <w:rFonts w:hint="eastAsia" w:ascii="方正书宋_GBK" w:eastAsia="方正书宋_GBK"/>
              </w:rPr>
              <w:t>加强对行政执法人员培训及证件管理、执法行为监督检查，办理行政复议案件，不断提高行政执法人员素质和执法水平，做好依法行政考核工作，全面推进依法行政。</w:t>
            </w:r>
          </w:p>
        </w:tc>
        <w:tc>
          <w:tcPr>
            <w:tcW w:w="2976" w:type="dxa"/>
            <w:shd w:val="clear" w:color="auto" w:fill="auto"/>
            <w:vAlign w:val="center"/>
          </w:tcPr>
          <w:p>
            <w:pPr>
              <w:ind w:firstLine="420" w:firstLineChars="200"/>
              <w:jc w:val="left"/>
              <w:rPr>
                <w:rFonts w:ascii="方正书宋_GBK" w:eastAsia="方正书宋_GBK"/>
              </w:rPr>
            </w:pPr>
            <w:r>
              <w:rPr>
                <w:rFonts w:hint="eastAsia" w:ascii="方正书宋_GBK" w:eastAsia="方正书宋_GBK"/>
              </w:rPr>
              <w:t>通过对行政执法人员和行政执法行为监督管理，不断提高行政执法水平，发挥行政复议纠错职能，保障相对人合法权益，全面考核依法行政工作，推进依法行政。</w:t>
            </w:r>
          </w:p>
        </w:tc>
        <w:tc>
          <w:tcPr>
            <w:tcW w:w="1417" w:type="dxa"/>
            <w:shd w:val="clear" w:color="auto" w:fill="auto"/>
            <w:vAlign w:val="center"/>
          </w:tcPr>
          <w:p>
            <w:pPr>
              <w:ind w:firstLine="420" w:firstLineChars="200"/>
              <w:jc w:val="left"/>
              <w:rPr>
                <w:rFonts w:ascii="方正书宋_GBK" w:eastAsia="方正书宋_GBK"/>
              </w:rPr>
            </w:pPr>
          </w:p>
        </w:tc>
        <w:tc>
          <w:tcPr>
            <w:tcW w:w="737" w:type="dxa"/>
            <w:shd w:val="clear" w:color="auto" w:fill="auto"/>
            <w:vAlign w:val="center"/>
          </w:tcPr>
          <w:p>
            <w:pPr>
              <w:ind w:firstLine="420" w:firstLineChars="200"/>
              <w:jc w:val="center"/>
              <w:rPr>
                <w:rFonts w:ascii="方正书宋_GBK" w:eastAsia="方正书宋_GBK"/>
              </w:rPr>
            </w:pPr>
          </w:p>
        </w:tc>
        <w:tc>
          <w:tcPr>
            <w:tcW w:w="737" w:type="dxa"/>
            <w:shd w:val="clear" w:color="auto" w:fill="auto"/>
            <w:vAlign w:val="center"/>
          </w:tcPr>
          <w:p>
            <w:pPr>
              <w:ind w:firstLine="420" w:firstLineChars="200"/>
              <w:jc w:val="center"/>
              <w:rPr>
                <w:rFonts w:ascii="方正书宋_GBK" w:eastAsia="方正书宋_GBK"/>
              </w:rPr>
            </w:pPr>
          </w:p>
        </w:tc>
        <w:tc>
          <w:tcPr>
            <w:tcW w:w="737" w:type="dxa"/>
            <w:shd w:val="clear" w:color="auto" w:fill="auto"/>
            <w:vAlign w:val="center"/>
          </w:tcPr>
          <w:p>
            <w:pPr>
              <w:ind w:firstLine="420" w:firstLineChars="200"/>
              <w:jc w:val="center"/>
              <w:rPr>
                <w:rFonts w:ascii="方正书宋_GBK" w:eastAsia="方正书宋_GBK"/>
              </w:rPr>
            </w:pPr>
          </w:p>
        </w:tc>
        <w:tc>
          <w:tcPr>
            <w:tcW w:w="737" w:type="dxa"/>
            <w:shd w:val="clear" w:color="auto" w:fill="auto"/>
            <w:vAlign w:val="center"/>
          </w:tcPr>
          <w:p>
            <w:pPr>
              <w:ind w:firstLine="420" w:firstLineChars="200"/>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ind w:firstLine="422" w:firstLineChars="200"/>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、组织推进依法行政</w:t>
            </w:r>
          </w:p>
        </w:tc>
        <w:tc>
          <w:tcPr>
            <w:tcW w:w="1276" w:type="dxa"/>
            <w:shd w:val="clear" w:color="auto" w:fill="auto"/>
            <w:vAlign w:val="center"/>
          </w:tcPr>
          <w:p>
            <w:pPr>
              <w:ind w:firstLine="420" w:firstLineChars="200"/>
              <w:jc w:val="left"/>
              <w:rPr>
                <w:rFonts w:ascii="方正书宋_GBK" w:eastAsia="方正书宋_GBK"/>
              </w:rPr>
            </w:pPr>
          </w:p>
        </w:tc>
        <w:tc>
          <w:tcPr>
            <w:tcW w:w="2976" w:type="dxa"/>
            <w:shd w:val="clear" w:color="auto" w:fill="auto"/>
            <w:vAlign w:val="center"/>
          </w:tcPr>
          <w:p>
            <w:pPr>
              <w:ind w:firstLine="420" w:firstLineChars="200"/>
              <w:jc w:val="left"/>
              <w:rPr>
                <w:rFonts w:ascii="方正书宋_GBK" w:eastAsia="方正书宋_GBK"/>
              </w:rPr>
            </w:pPr>
            <w:r>
              <w:rPr>
                <w:rFonts w:hint="eastAsia" w:ascii="方正书宋_GBK" w:eastAsia="方正书宋_GBK"/>
              </w:rPr>
              <w:t>承担县政府全面推进依法行政工作领导小组办公室日常工作，推进依法行政示范创建活动、相对集中行政处罚权工作；制定全县依法行政考核指标体系，组织依法行政考核工作。</w:t>
            </w:r>
          </w:p>
        </w:tc>
        <w:tc>
          <w:tcPr>
            <w:tcW w:w="2976" w:type="dxa"/>
            <w:shd w:val="clear" w:color="auto" w:fill="auto"/>
            <w:vAlign w:val="center"/>
          </w:tcPr>
          <w:p>
            <w:pPr>
              <w:ind w:firstLine="420" w:firstLineChars="200"/>
              <w:jc w:val="left"/>
              <w:rPr>
                <w:rFonts w:ascii="方正书宋_GBK" w:eastAsia="方正书宋_GBK"/>
              </w:rPr>
            </w:pPr>
            <w:r>
              <w:rPr>
                <w:rFonts w:hint="eastAsia" w:ascii="方正书宋_GBK" w:eastAsia="方正书宋_GBK"/>
              </w:rPr>
              <w:t>通过组织全县依法行政考核工作，进一步推动法治政府建设。</w:t>
            </w:r>
          </w:p>
        </w:tc>
        <w:tc>
          <w:tcPr>
            <w:tcW w:w="1417" w:type="dxa"/>
            <w:shd w:val="clear" w:color="auto" w:fill="auto"/>
            <w:vAlign w:val="center"/>
          </w:tcPr>
          <w:p>
            <w:pPr>
              <w:ind w:firstLine="420" w:firstLineChars="200"/>
              <w:jc w:val="left"/>
              <w:rPr>
                <w:rFonts w:ascii="方正书宋_GBK" w:eastAsia="方正书宋_GBK"/>
              </w:rPr>
            </w:pPr>
            <w:r>
              <w:rPr>
                <w:rFonts w:hint="eastAsia" w:ascii="方正书宋_GBK" w:eastAsia="方正书宋_GBK"/>
              </w:rPr>
              <w:t>组织推进依法行政</w:t>
            </w:r>
          </w:p>
        </w:tc>
        <w:tc>
          <w:tcPr>
            <w:tcW w:w="737" w:type="dxa"/>
            <w:shd w:val="clear" w:color="auto" w:fill="auto"/>
            <w:vAlign w:val="center"/>
          </w:tcPr>
          <w:p>
            <w:pPr>
              <w:ind w:firstLine="420" w:firstLineChars="200"/>
              <w:jc w:val="center"/>
              <w:rPr>
                <w:rFonts w:ascii="方正书宋_GBK" w:eastAsia="方正书宋_GBK"/>
              </w:rPr>
            </w:pPr>
            <w:r>
              <w:rPr>
                <w:rFonts w:ascii="方正书宋_GBK" w:eastAsia="方正书宋_GBK"/>
              </w:rPr>
              <w:t>100%</w:t>
            </w:r>
          </w:p>
        </w:tc>
        <w:tc>
          <w:tcPr>
            <w:tcW w:w="737" w:type="dxa"/>
            <w:shd w:val="clear" w:color="auto" w:fill="auto"/>
            <w:vAlign w:val="center"/>
          </w:tcPr>
          <w:p>
            <w:pPr>
              <w:ind w:firstLine="420" w:firstLineChars="200"/>
              <w:jc w:val="center"/>
              <w:rPr>
                <w:rFonts w:ascii="方正书宋_GBK" w:eastAsia="方正书宋_GBK"/>
              </w:rPr>
            </w:pPr>
            <w:r>
              <w:rPr>
                <w:rFonts w:ascii="方正书宋_GBK" w:eastAsia="方正书宋_GBK"/>
              </w:rPr>
              <w:t>80%</w:t>
            </w:r>
            <w:r>
              <w:rPr>
                <w:rFonts w:hint="eastAsia" w:ascii="方正书宋_GBK" w:eastAsia="方正书宋_GBK"/>
              </w:rPr>
              <w:t>以上</w:t>
            </w:r>
          </w:p>
        </w:tc>
        <w:tc>
          <w:tcPr>
            <w:tcW w:w="737" w:type="dxa"/>
            <w:shd w:val="clear" w:color="auto" w:fill="auto"/>
            <w:vAlign w:val="center"/>
          </w:tcPr>
          <w:p>
            <w:pPr>
              <w:ind w:firstLine="420" w:firstLineChars="200"/>
              <w:jc w:val="center"/>
              <w:rPr>
                <w:rFonts w:ascii="方正书宋_GBK" w:eastAsia="方正书宋_GBK"/>
              </w:rPr>
            </w:pPr>
            <w:r>
              <w:rPr>
                <w:rFonts w:ascii="方正书宋_GBK" w:eastAsia="方正书宋_GBK"/>
              </w:rPr>
              <w:t>60%</w:t>
            </w:r>
            <w:r>
              <w:rPr>
                <w:rFonts w:hint="eastAsia" w:ascii="方正书宋_GBK" w:eastAsia="方正书宋_GBK"/>
              </w:rPr>
              <w:t>以上</w:t>
            </w:r>
          </w:p>
        </w:tc>
        <w:tc>
          <w:tcPr>
            <w:tcW w:w="737" w:type="dxa"/>
            <w:shd w:val="clear" w:color="auto" w:fill="auto"/>
            <w:vAlign w:val="center"/>
          </w:tcPr>
          <w:p>
            <w:pPr>
              <w:ind w:firstLine="420" w:firstLineChars="200"/>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ind w:firstLine="422" w:firstLineChars="200"/>
              <w:jc w:val="left"/>
              <w:rPr>
                <w:rFonts w:ascii="方正书宋_GBK" w:eastAsia="方正书宋_GBK"/>
                <w:b/>
              </w:rPr>
            </w:pPr>
            <w:r>
              <w:rPr>
                <w:rFonts w:hint="eastAsia" w:ascii="方正书宋_GBK" w:eastAsia="方正书宋_GBK"/>
                <w:b/>
              </w:rPr>
              <w:t>二、政府法制综合业务管理</w:t>
            </w:r>
          </w:p>
        </w:tc>
        <w:tc>
          <w:tcPr>
            <w:tcW w:w="1276" w:type="dxa"/>
            <w:shd w:val="clear" w:color="auto" w:fill="auto"/>
            <w:vAlign w:val="center"/>
          </w:tcPr>
          <w:p>
            <w:pPr>
              <w:ind w:firstLine="420" w:firstLineChars="200"/>
              <w:jc w:val="left"/>
              <w:rPr>
                <w:rFonts w:ascii="方正书宋_GBK" w:eastAsia="方正书宋_GBK"/>
              </w:rPr>
            </w:pPr>
            <w:r>
              <w:rPr>
                <w:rFonts w:ascii="方正书宋_GBK" w:eastAsia="方正书宋_GBK"/>
              </w:rPr>
              <w:t>119.64</w:t>
            </w:r>
          </w:p>
        </w:tc>
        <w:tc>
          <w:tcPr>
            <w:tcW w:w="2976" w:type="dxa"/>
            <w:shd w:val="clear" w:color="auto" w:fill="auto"/>
            <w:vAlign w:val="center"/>
          </w:tcPr>
          <w:p>
            <w:pPr>
              <w:ind w:firstLine="420" w:firstLineChars="200"/>
              <w:jc w:val="left"/>
              <w:rPr>
                <w:rFonts w:ascii="方正书宋_GBK" w:eastAsia="方正书宋_GBK"/>
              </w:rPr>
            </w:pPr>
            <w:r>
              <w:rPr>
                <w:rFonts w:hint="eastAsia" w:ascii="方正书宋_GBK" w:eastAsia="方正书宋_GBK"/>
              </w:rPr>
              <w:t>开展对外法制业务交流。负责办机关人事、劳资、行政后勤、财务和资产管理等工作。</w:t>
            </w:r>
          </w:p>
        </w:tc>
        <w:tc>
          <w:tcPr>
            <w:tcW w:w="2976" w:type="dxa"/>
            <w:shd w:val="clear" w:color="auto" w:fill="auto"/>
            <w:vAlign w:val="center"/>
          </w:tcPr>
          <w:p>
            <w:pPr>
              <w:ind w:firstLine="420" w:firstLineChars="200"/>
              <w:jc w:val="left"/>
              <w:rPr>
                <w:rFonts w:ascii="方正书宋_GBK" w:eastAsia="方正书宋_GBK"/>
              </w:rPr>
            </w:pPr>
            <w:r>
              <w:rPr>
                <w:rFonts w:hint="eastAsia" w:ascii="方正书宋_GBK" w:eastAsia="方正书宋_GBK"/>
              </w:rPr>
              <w:t>为高质、高效开展法治政府建设提供有效保障。</w:t>
            </w:r>
          </w:p>
        </w:tc>
        <w:tc>
          <w:tcPr>
            <w:tcW w:w="1417" w:type="dxa"/>
            <w:shd w:val="clear" w:color="auto" w:fill="auto"/>
            <w:vAlign w:val="center"/>
          </w:tcPr>
          <w:p>
            <w:pPr>
              <w:ind w:firstLine="420" w:firstLineChars="200"/>
              <w:jc w:val="left"/>
              <w:rPr>
                <w:rFonts w:ascii="方正书宋_GBK" w:eastAsia="方正书宋_GBK"/>
              </w:rPr>
            </w:pPr>
          </w:p>
        </w:tc>
        <w:tc>
          <w:tcPr>
            <w:tcW w:w="737" w:type="dxa"/>
            <w:shd w:val="clear" w:color="auto" w:fill="auto"/>
            <w:vAlign w:val="center"/>
          </w:tcPr>
          <w:p>
            <w:pPr>
              <w:ind w:firstLine="420" w:firstLineChars="200"/>
              <w:jc w:val="center"/>
              <w:rPr>
                <w:rFonts w:ascii="方正书宋_GBK" w:eastAsia="方正书宋_GBK"/>
              </w:rPr>
            </w:pPr>
          </w:p>
        </w:tc>
        <w:tc>
          <w:tcPr>
            <w:tcW w:w="737" w:type="dxa"/>
            <w:shd w:val="clear" w:color="auto" w:fill="auto"/>
            <w:vAlign w:val="center"/>
          </w:tcPr>
          <w:p>
            <w:pPr>
              <w:ind w:firstLine="420" w:firstLineChars="200"/>
              <w:jc w:val="center"/>
              <w:rPr>
                <w:rFonts w:ascii="方正书宋_GBK" w:eastAsia="方正书宋_GBK"/>
              </w:rPr>
            </w:pPr>
          </w:p>
        </w:tc>
        <w:tc>
          <w:tcPr>
            <w:tcW w:w="737" w:type="dxa"/>
            <w:shd w:val="clear" w:color="auto" w:fill="auto"/>
            <w:vAlign w:val="center"/>
          </w:tcPr>
          <w:p>
            <w:pPr>
              <w:ind w:firstLine="420" w:firstLineChars="200"/>
              <w:jc w:val="center"/>
              <w:rPr>
                <w:rFonts w:ascii="方正书宋_GBK" w:eastAsia="方正书宋_GBK"/>
              </w:rPr>
            </w:pPr>
          </w:p>
        </w:tc>
        <w:tc>
          <w:tcPr>
            <w:tcW w:w="737" w:type="dxa"/>
            <w:shd w:val="clear" w:color="auto" w:fill="auto"/>
            <w:vAlign w:val="center"/>
          </w:tcPr>
          <w:p>
            <w:pPr>
              <w:ind w:firstLine="420" w:firstLineChars="200"/>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ind w:firstLine="422" w:firstLineChars="200"/>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、综合业务管理</w:t>
            </w:r>
          </w:p>
        </w:tc>
        <w:tc>
          <w:tcPr>
            <w:tcW w:w="1276" w:type="dxa"/>
            <w:shd w:val="clear" w:color="auto" w:fill="auto"/>
            <w:vAlign w:val="center"/>
          </w:tcPr>
          <w:p>
            <w:pPr>
              <w:ind w:firstLine="420" w:firstLineChars="200"/>
              <w:jc w:val="left"/>
              <w:rPr>
                <w:rFonts w:ascii="方正书宋_GBK" w:eastAsia="方正书宋_GBK"/>
              </w:rPr>
            </w:pPr>
            <w:r>
              <w:rPr>
                <w:rFonts w:ascii="方正书宋_GBK" w:eastAsia="方正书宋_GBK"/>
              </w:rPr>
              <w:t>119.64</w:t>
            </w:r>
          </w:p>
        </w:tc>
        <w:tc>
          <w:tcPr>
            <w:tcW w:w="2976" w:type="dxa"/>
            <w:shd w:val="clear" w:color="auto" w:fill="auto"/>
            <w:vAlign w:val="center"/>
          </w:tcPr>
          <w:p>
            <w:pPr>
              <w:ind w:firstLine="420" w:firstLineChars="200"/>
              <w:jc w:val="left"/>
              <w:rPr>
                <w:rFonts w:ascii="方正书宋_GBK" w:eastAsia="方正书宋_GBK"/>
              </w:rPr>
            </w:pPr>
            <w:r>
              <w:rPr>
                <w:rFonts w:hint="eastAsia" w:ascii="方正书宋_GBK" w:eastAsia="方正书宋_GBK"/>
              </w:rPr>
              <w:t>开展对外法制业务交流。</w:t>
            </w:r>
          </w:p>
        </w:tc>
        <w:tc>
          <w:tcPr>
            <w:tcW w:w="2976" w:type="dxa"/>
            <w:shd w:val="clear" w:color="auto" w:fill="auto"/>
            <w:vAlign w:val="center"/>
          </w:tcPr>
          <w:p>
            <w:pPr>
              <w:ind w:firstLine="420" w:firstLineChars="200"/>
              <w:jc w:val="left"/>
              <w:rPr>
                <w:rFonts w:ascii="方正书宋_GBK" w:eastAsia="方正书宋_GBK"/>
              </w:rPr>
            </w:pPr>
            <w:r>
              <w:rPr>
                <w:rFonts w:hint="eastAsia" w:ascii="方正书宋_GBK" w:eastAsia="方正书宋_GBK"/>
              </w:rPr>
              <w:t>各类政府法制业务工作谋划到位、开展有序，推进政府法制建设。</w:t>
            </w:r>
          </w:p>
        </w:tc>
        <w:tc>
          <w:tcPr>
            <w:tcW w:w="1417" w:type="dxa"/>
            <w:shd w:val="clear" w:color="auto" w:fill="auto"/>
            <w:vAlign w:val="center"/>
          </w:tcPr>
          <w:p>
            <w:pPr>
              <w:ind w:firstLine="420" w:firstLineChars="200"/>
              <w:jc w:val="left"/>
              <w:rPr>
                <w:rFonts w:ascii="方正书宋_GBK" w:eastAsia="方正书宋_GBK"/>
              </w:rPr>
            </w:pPr>
            <w:r>
              <w:rPr>
                <w:rFonts w:hint="eastAsia" w:ascii="方正书宋_GBK" w:eastAsia="方正书宋_GBK"/>
              </w:rPr>
              <w:t>综合业务管理</w:t>
            </w:r>
          </w:p>
        </w:tc>
        <w:tc>
          <w:tcPr>
            <w:tcW w:w="737" w:type="dxa"/>
            <w:shd w:val="clear" w:color="auto" w:fill="auto"/>
            <w:vAlign w:val="center"/>
          </w:tcPr>
          <w:p>
            <w:pPr>
              <w:ind w:firstLine="420" w:firstLineChars="200"/>
              <w:jc w:val="center"/>
              <w:rPr>
                <w:rFonts w:ascii="方正书宋_GBK" w:eastAsia="方正书宋_GBK"/>
              </w:rPr>
            </w:pPr>
            <w:r>
              <w:rPr>
                <w:rFonts w:ascii="方正书宋_GBK" w:eastAsia="方正书宋_GBK"/>
              </w:rPr>
              <w:t>100%</w:t>
            </w:r>
          </w:p>
        </w:tc>
        <w:tc>
          <w:tcPr>
            <w:tcW w:w="737" w:type="dxa"/>
            <w:shd w:val="clear" w:color="auto" w:fill="auto"/>
            <w:vAlign w:val="center"/>
          </w:tcPr>
          <w:p>
            <w:pPr>
              <w:ind w:firstLine="420" w:firstLineChars="200"/>
              <w:jc w:val="center"/>
              <w:rPr>
                <w:rFonts w:ascii="方正书宋_GBK" w:eastAsia="方正书宋_GBK"/>
              </w:rPr>
            </w:pPr>
            <w:r>
              <w:rPr>
                <w:rFonts w:ascii="方正书宋_GBK" w:eastAsia="方正书宋_GBK"/>
              </w:rPr>
              <w:t>80%</w:t>
            </w:r>
            <w:r>
              <w:rPr>
                <w:rFonts w:hint="eastAsia" w:ascii="方正书宋_GBK" w:eastAsia="方正书宋_GBK"/>
              </w:rPr>
              <w:t>以上</w:t>
            </w:r>
          </w:p>
        </w:tc>
        <w:tc>
          <w:tcPr>
            <w:tcW w:w="737" w:type="dxa"/>
            <w:shd w:val="clear" w:color="auto" w:fill="auto"/>
            <w:vAlign w:val="center"/>
          </w:tcPr>
          <w:p>
            <w:pPr>
              <w:ind w:firstLine="420" w:firstLineChars="200"/>
              <w:jc w:val="center"/>
              <w:rPr>
                <w:rFonts w:ascii="方正书宋_GBK" w:eastAsia="方正书宋_GBK"/>
              </w:rPr>
            </w:pPr>
            <w:r>
              <w:rPr>
                <w:rFonts w:ascii="方正书宋_GBK" w:eastAsia="方正书宋_GBK"/>
              </w:rPr>
              <w:t>60%</w:t>
            </w:r>
            <w:r>
              <w:rPr>
                <w:rFonts w:hint="eastAsia" w:ascii="方正书宋_GBK" w:eastAsia="方正书宋_GBK"/>
              </w:rPr>
              <w:t>以上</w:t>
            </w:r>
          </w:p>
        </w:tc>
        <w:tc>
          <w:tcPr>
            <w:tcW w:w="737" w:type="dxa"/>
            <w:shd w:val="clear" w:color="auto" w:fill="auto"/>
            <w:vAlign w:val="center"/>
          </w:tcPr>
          <w:p>
            <w:pPr>
              <w:ind w:firstLine="420" w:firstLineChars="200"/>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ind w:firstLine="422" w:firstLineChars="200"/>
              <w:jc w:val="left"/>
              <w:rPr>
                <w:rFonts w:ascii="方正书宋_GBK" w:eastAsia="方正书宋_GBK"/>
                <w:b/>
              </w:rPr>
            </w:pPr>
            <w:r>
              <w:rPr>
                <w:rFonts w:hint="eastAsia" w:ascii="方正书宋_GBK" w:eastAsia="方正书宋_GBK"/>
                <w:b/>
              </w:rPr>
              <w:t>三、政府办公室政务管理</w:t>
            </w:r>
          </w:p>
        </w:tc>
        <w:tc>
          <w:tcPr>
            <w:tcW w:w="1276" w:type="dxa"/>
            <w:shd w:val="clear" w:color="auto" w:fill="auto"/>
            <w:vAlign w:val="center"/>
          </w:tcPr>
          <w:p>
            <w:pPr>
              <w:ind w:firstLine="420" w:firstLineChars="200"/>
              <w:jc w:val="left"/>
              <w:rPr>
                <w:rFonts w:ascii="方正书宋_GBK" w:eastAsia="方正书宋_GBK"/>
              </w:rPr>
            </w:pPr>
            <w:r>
              <w:rPr>
                <w:rFonts w:ascii="方正书宋_GBK" w:eastAsia="方正书宋_GBK"/>
              </w:rPr>
              <w:t>60.00</w:t>
            </w:r>
          </w:p>
        </w:tc>
        <w:tc>
          <w:tcPr>
            <w:tcW w:w="2976" w:type="dxa"/>
            <w:shd w:val="clear" w:color="auto" w:fill="auto"/>
            <w:vAlign w:val="center"/>
          </w:tcPr>
          <w:p>
            <w:pPr>
              <w:ind w:firstLine="420" w:firstLineChars="200"/>
              <w:jc w:val="left"/>
              <w:rPr>
                <w:rFonts w:ascii="方正书宋_GBK" w:eastAsia="方正书宋_GBK"/>
              </w:rPr>
            </w:pPr>
            <w:r>
              <w:rPr>
                <w:rFonts w:hint="eastAsia" w:ascii="方正书宋_GBK" w:eastAsia="方正书宋_GBK"/>
              </w:rPr>
              <w:t>按照有关要求，做好机关办公区房屋与附属设施的维修、维护工作；做好机关办公区绿化、美化工作；做好后勤保障和老干部管理服务工作。</w:t>
            </w:r>
          </w:p>
        </w:tc>
        <w:tc>
          <w:tcPr>
            <w:tcW w:w="2976" w:type="dxa"/>
            <w:shd w:val="clear" w:color="auto" w:fill="auto"/>
            <w:vAlign w:val="center"/>
          </w:tcPr>
          <w:p>
            <w:pPr>
              <w:ind w:firstLine="420" w:firstLineChars="200"/>
              <w:jc w:val="left"/>
              <w:rPr>
                <w:rFonts w:ascii="方正书宋_GBK" w:eastAsia="方正书宋_GBK"/>
              </w:rPr>
            </w:pPr>
            <w:r>
              <w:rPr>
                <w:rFonts w:hint="eastAsia" w:ascii="方正书宋_GBK" w:eastAsia="方正书宋_GBK"/>
              </w:rPr>
              <w:t>以服务领导和机关保障有力为目标，增强了优质后勤管理水平，通过加强公车管理，降低运行成本，为创建节约型机关打下了良好的基础。采取保障县政府领导和机关工作办公环境的措施，提升了服务管理水平，保障了县领导和机关工作的正常运转。及时了解国内外形势、党和国家的方针政策以及县委、县政府办公室的重要部署和要求，及时为老干部提供优质高效服务。</w:t>
            </w:r>
          </w:p>
        </w:tc>
        <w:tc>
          <w:tcPr>
            <w:tcW w:w="1417" w:type="dxa"/>
            <w:shd w:val="clear" w:color="auto" w:fill="auto"/>
            <w:vAlign w:val="center"/>
          </w:tcPr>
          <w:p>
            <w:pPr>
              <w:ind w:firstLine="420" w:firstLineChars="200"/>
              <w:jc w:val="left"/>
              <w:rPr>
                <w:rFonts w:ascii="方正书宋_GBK" w:eastAsia="方正书宋_GBK"/>
              </w:rPr>
            </w:pPr>
          </w:p>
        </w:tc>
        <w:tc>
          <w:tcPr>
            <w:tcW w:w="737" w:type="dxa"/>
            <w:shd w:val="clear" w:color="auto" w:fill="auto"/>
            <w:vAlign w:val="center"/>
          </w:tcPr>
          <w:p>
            <w:pPr>
              <w:ind w:firstLine="420" w:firstLineChars="200"/>
              <w:jc w:val="center"/>
              <w:rPr>
                <w:rFonts w:ascii="方正书宋_GBK" w:eastAsia="方正书宋_GBK"/>
              </w:rPr>
            </w:pPr>
          </w:p>
        </w:tc>
        <w:tc>
          <w:tcPr>
            <w:tcW w:w="737" w:type="dxa"/>
            <w:shd w:val="clear" w:color="auto" w:fill="auto"/>
            <w:vAlign w:val="center"/>
          </w:tcPr>
          <w:p>
            <w:pPr>
              <w:ind w:firstLine="420" w:firstLineChars="200"/>
              <w:jc w:val="center"/>
              <w:rPr>
                <w:rFonts w:ascii="方正书宋_GBK" w:eastAsia="方正书宋_GBK"/>
              </w:rPr>
            </w:pPr>
          </w:p>
        </w:tc>
        <w:tc>
          <w:tcPr>
            <w:tcW w:w="737" w:type="dxa"/>
            <w:shd w:val="clear" w:color="auto" w:fill="auto"/>
            <w:vAlign w:val="center"/>
          </w:tcPr>
          <w:p>
            <w:pPr>
              <w:ind w:firstLine="420" w:firstLineChars="200"/>
              <w:jc w:val="center"/>
              <w:rPr>
                <w:rFonts w:ascii="方正书宋_GBK" w:eastAsia="方正书宋_GBK"/>
              </w:rPr>
            </w:pPr>
          </w:p>
        </w:tc>
        <w:tc>
          <w:tcPr>
            <w:tcW w:w="737" w:type="dxa"/>
            <w:shd w:val="clear" w:color="auto" w:fill="auto"/>
            <w:vAlign w:val="center"/>
          </w:tcPr>
          <w:p>
            <w:pPr>
              <w:ind w:firstLine="420" w:firstLineChars="200"/>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ind w:firstLine="422" w:firstLineChars="200"/>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、综合业务管理</w:t>
            </w:r>
          </w:p>
        </w:tc>
        <w:tc>
          <w:tcPr>
            <w:tcW w:w="1276" w:type="dxa"/>
            <w:shd w:val="clear" w:color="auto" w:fill="auto"/>
            <w:vAlign w:val="center"/>
          </w:tcPr>
          <w:p>
            <w:pPr>
              <w:ind w:firstLine="420" w:firstLineChars="200"/>
              <w:jc w:val="left"/>
              <w:rPr>
                <w:rFonts w:ascii="方正书宋_GBK" w:eastAsia="方正书宋_GBK"/>
              </w:rPr>
            </w:pPr>
            <w:r>
              <w:rPr>
                <w:rFonts w:ascii="方正书宋_GBK" w:eastAsia="方正书宋_GBK"/>
              </w:rPr>
              <w:t>60.00</w:t>
            </w:r>
          </w:p>
        </w:tc>
        <w:tc>
          <w:tcPr>
            <w:tcW w:w="2976" w:type="dxa"/>
            <w:shd w:val="clear" w:color="auto" w:fill="auto"/>
            <w:vAlign w:val="center"/>
          </w:tcPr>
          <w:p>
            <w:pPr>
              <w:ind w:firstLine="420" w:firstLineChars="200"/>
              <w:jc w:val="left"/>
              <w:rPr>
                <w:rFonts w:ascii="方正书宋_GBK" w:eastAsia="方正书宋_GBK"/>
              </w:rPr>
            </w:pPr>
            <w:r>
              <w:rPr>
                <w:rFonts w:hint="eastAsia" w:ascii="方正书宋_GBK" w:eastAsia="方正书宋_GBK"/>
              </w:rPr>
              <w:t>协助县政府领导组织起草或审核上报市政府以及以县政府办公室名义发布的公文；办理县政府各部门和下级政府报送的文电；对县政府部门间出现的争议问题提出处理意见；组织起草县政府领导重要讲话及其他重要文稿；组织专题调研；承办县政府领导交办的其他事项。</w:t>
            </w:r>
          </w:p>
        </w:tc>
        <w:tc>
          <w:tcPr>
            <w:tcW w:w="2976" w:type="dxa"/>
            <w:shd w:val="clear" w:color="auto" w:fill="auto"/>
            <w:vAlign w:val="center"/>
          </w:tcPr>
          <w:p>
            <w:pPr>
              <w:ind w:firstLine="420" w:firstLineChars="200"/>
              <w:jc w:val="left"/>
              <w:rPr>
                <w:rFonts w:ascii="方正书宋_GBK" w:eastAsia="方正书宋_GBK"/>
              </w:rPr>
            </w:pPr>
            <w:r>
              <w:rPr>
                <w:rFonts w:hint="eastAsia" w:ascii="方正书宋_GBK" w:eastAsia="方正书宋_GBK"/>
              </w:rPr>
              <w:t>高质量审核公文，让县领导满意；及时办理各类文电，确保事项在第一时间得到县领导批示意见；高质量起草的县领导重要讲话及重要文稿。</w:t>
            </w:r>
          </w:p>
        </w:tc>
        <w:tc>
          <w:tcPr>
            <w:tcW w:w="1417" w:type="dxa"/>
            <w:shd w:val="clear" w:color="auto" w:fill="auto"/>
            <w:vAlign w:val="center"/>
          </w:tcPr>
          <w:p>
            <w:pPr>
              <w:ind w:firstLine="420" w:firstLineChars="200"/>
              <w:jc w:val="left"/>
              <w:rPr>
                <w:rFonts w:ascii="方正书宋_GBK" w:eastAsia="方正书宋_GBK"/>
              </w:rPr>
            </w:pPr>
            <w:r>
              <w:rPr>
                <w:rFonts w:hint="eastAsia" w:ascii="方正书宋_GBK" w:eastAsia="方正书宋_GBK"/>
              </w:rPr>
              <w:t>综合业务工作完成情况</w:t>
            </w:r>
          </w:p>
        </w:tc>
        <w:tc>
          <w:tcPr>
            <w:tcW w:w="737" w:type="dxa"/>
            <w:shd w:val="clear" w:color="auto" w:fill="auto"/>
            <w:vAlign w:val="center"/>
          </w:tcPr>
          <w:p>
            <w:pPr>
              <w:ind w:firstLine="420" w:firstLineChars="200"/>
              <w:jc w:val="center"/>
              <w:rPr>
                <w:rFonts w:ascii="方正书宋_GBK" w:eastAsia="方正书宋_GBK"/>
              </w:rPr>
            </w:pPr>
            <w:r>
              <w:rPr>
                <w:rFonts w:ascii="方正书宋_GBK" w:eastAsia="方正书宋_GBK"/>
              </w:rPr>
              <w:t>100%</w:t>
            </w:r>
          </w:p>
        </w:tc>
        <w:tc>
          <w:tcPr>
            <w:tcW w:w="737" w:type="dxa"/>
            <w:shd w:val="clear" w:color="auto" w:fill="auto"/>
            <w:vAlign w:val="center"/>
          </w:tcPr>
          <w:p>
            <w:pPr>
              <w:ind w:firstLine="420" w:firstLineChars="200"/>
              <w:jc w:val="center"/>
              <w:rPr>
                <w:rFonts w:ascii="方正书宋_GBK" w:eastAsia="方正书宋_GBK"/>
              </w:rPr>
            </w:pPr>
            <w:r>
              <w:rPr>
                <w:rFonts w:ascii="方正书宋_GBK" w:eastAsia="方正书宋_GBK"/>
              </w:rPr>
              <w:t>80%</w:t>
            </w:r>
            <w:r>
              <w:rPr>
                <w:rFonts w:hint="eastAsia" w:ascii="方正书宋_GBK" w:eastAsia="方正书宋_GBK"/>
              </w:rPr>
              <w:t>以上</w:t>
            </w:r>
          </w:p>
        </w:tc>
        <w:tc>
          <w:tcPr>
            <w:tcW w:w="737" w:type="dxa"/>
            <w:shd w:val="clear" w:color="auto" w:fill="auto"/>
            <w:vAlign w:val="center"/>
          </w:tcPr>
          <w:p>
            <w:pPr>
              <w:ind w:firstLine="420" w:firstLineChars="200"/>
              <w:jc w:val="center"/>
              <w:rPr>
                <w:rFonts w:ascii="方正书宋_GBK" w:eastAsia="方正书宋_GBK"/>
              </w:rPr>
            </w:pPr>
            <w:r>
              <w:rPr>
                <w:rFonts w:ascii="方正书宋_GBK" w:eastAsia="方正书宋_GBK"/>
              </w:rPr>
              <w:t>60%</w:t>
            </w:r>
            <w:r>
              <w:rPr>
                <w:rFonts w:hint="eastAsia" w:ascii="方正书宋_GBK" w:eastAsia="方正书宋_GBK"/>
              </w:rPr>
              <w:t>以上</w:t>
            </w:r>
          </w:p>
        </w:tc>
        <w:tc>
          <w:tcPr>
            <w:tcW w:w="737" w:type="dxa"/>
            <w:shd w:val="clear" w:color="auto" w:fill="auto"/>
            <w:vAlign w:val="center"/>
          </w:tcPr>
          <w:p>
            <w:pPr>
              <w:ind w:firstLine="420" w:firstLineChars="200"/>
              <w:jc w:val="center"/>
              <w:rPr>
                <w:rFonts w:ascii="方正书宋_GBK" w:eastAsia="方正书宋_GBK"/>
              </w:rPr>
            </w:pPr>
            <w:r>
              <w:rPr>
                <w:rFonts w:ascii="方正书宋_GBK" w:eastAsia="方正书宋_GBK"/>
              </w:rPr>
              <w:t>60%</w:t>
            </w:r>
            <w:r>
              <w:rPr>
                <w:rFonts w:hint="eastAsia" w:ascii="方正书宋_GBK" w:eastAsia="方正书宋_GBK"/>
              </w:rPr>
              <w:t>以下</w:t>
            </w:r>
          </w:p>
        </w:tc>
      </w:tr>
    </w:tbl>
    <w:p>
      <w:pPr>
        <w:jc w:val="left"/>
        <w:outlineLvl w:val="0"/>
        <w:sectPr>
          <w:pgSz w:w="16839" w:h="11907" w:orient="landscape"/>
          <w:pgMar w:top="1020" w:right="1361" w:bottom="1020" w:left="1361" w:header="851" w:footer="992" w:gutter="0"/>
          <w:cols w:space="425" w:num="1"/>
          <w:docGrid w:type="lines" w:linePitch="312" w:charSpace="0"/>
        </w:sectPr>
      </w:pPr>
    </w:p>
    <w:p>
      <w:pPr>
        <w:ind w:firstLine="723" w:firstLineChars="200"/>
        <w:jc w:val="center"/>
        <w:outlineLvl w:val="0"/>
        <w:rPr>
          <w:rFonts w:hint="eastAsia" w:asciiTheme="majorEastAsia" w:hAnsiTheme="majorEastAsia" w:eastAsiaTheme="majorEastAsia"/>
          <w:b/>
          <w:sz w:val="36"/>
          <w:szCs w:val="36"/>
        </w:rPr>
      </w:pPr>
      <w:bookmarkStart w:id="1" w:name="_Toc508012948"/>
      <w:r>
        <w:rPr>
          <w:rFonts w:hint="eastAsia" w:asciiTheme="majorEastAsia" w:hAnsiTheme="majorEastAsia" w:eastAsiaTheme="majorEastAsia"/>
          <w:b/>
          <w:sz w:val="36"/>
          <w:szCs w:val="36"/>
        </w:rPr>
        <w:t>第三部分：政府采购预算</w:t>
      </w:r>
      <w:bookmarkEnd w:id="1"/>
      <w:r>
        <w:rPr>
          <w:rFonts w:hint="eastAsia" w:asciiTheme="majorEastAsia" w:hAnsiTheme="majorEastAsia" w:eastAsiaTheme="majorEastAsia"/>
          <w:b/>
          <w:sz w:val="36"/>
          <w:szCs w:val="36"/>
        </w:rPr>
        <w:t>情况</w:t>
      </w:r>
    </w:p>
    <w:p>
      <w:pPr>
        <w:ind w:firstLine="422" w:firstLineChars="200"/>
        <w:jc w:val="center"/>
        <w:outlineLvl w:val="0"/>
        <w:rPr>
          <w:rFonts w:asciiTheme="majorEastAsia" w:hAnsiTheme="majorEastAsia" w:eastAsiaTheme="majorEastAsia"/>
          <w:b/>
          <w:szCs w:val="21"/>
        </w:rPr>
      </w:pPr>
    </w:p>
    <w:p>
      <w:pPr>
        <w:jc w:val="left"/>
        <w:outlineLvl w:val="0"/>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2018年，行政审批局部门安排采购预算110.98万元。具体内容见下表：</w:t>
      </w:r>
    </w:p>
    <w:tbl>
      <w:tblPr>
        <w:tblStyle w:val="7"/>
        <w:tblW w:w="1456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9"/>
        <w:gridCol w:w="1013"/>
        <w:gridCol w:w="887"/>
        <w:gridCol w:w="899"/>
        <w:gridCol w:w="675"/>
        <w:gridCol w:w="676"/>
        <w:gridCol w:w="766"/>
        <w:gridCol w:w="1275"/>
        <w:gridCol w:w="1275"/>
        <w:gridCol w:w="1275"/>
        <w:gridCol w:w="877"/>
        <w:gridCol w:w="879"/>
        <w:gridCol w:w="879"/>
        <w:gridCol w:w="8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275" w:type="dxa"/>
            <w:gridSpan w:val="7"/>
            <w:tcBorders>
              <w:top w:val="single" w:color="FFFFFF" w:sz="6" w:space="0"/>
              <w:left w:val="single" w:color="FFFFFF" w:sz="6" w:space="0"/>
              <w:right w:val="single" w:color="FFFFFF" w:sz="6" w:space="0"/>
            </w:tcBorders>
            <w:shd w:val="clear" w:color="auto" w:fill="auto"/>
            <w:vAlign w:val="center"/>
          </w:tcPr>
          <w:p>
            <w:pPr>
              <w:ind w:firstLine="480" w:firstLineChars="200"/>
              <w:rPr>
                <w:rFonts w:ascii="方正小标宋_GBK" w:eastAsia="方正小标宋_GBK"/>
                <w:sz w:val="24"/>
              </w:rPr>
            </w:pPr>
            <w:r>
              <w:rPr>
                <w:rFonts w:ascii="方正小标宋_GBK" w:eastAsia="方正小标宋_GBK"/>
                <w:sz w:val="24"/>
              </w:rPr>
              <w:t>310</w:t>
            </w:r>
            <w:r>
              <w:rPr>
                <w:rFonts w:hint="eastAsia" w:ascii="方正小标宋_GBK" w:eastAsia="方正小标宋_GBK"/>
                <w:sz w:val="24"/>
              </w:rPr>
              <w:t>曲阳县行政审批局</w:t>
            </w:r>
          </w:p>
        </w:tc>
        <w:tc>
          <w:tcPr>
            <w:tcW w:w="7293" w:type="dxa"/>
            <w:gridSpan w:val="7"/>
            <w:tcBorders>
              <w:top w:val="single" w:color="FFFFFF" w:sz="6" w:space="0"/>
              <w:left w:val="single" w:color="FFFFFF" w:sz="6" w:space="0"/>
              <w:right w:val="single" w:color="FFFFFF" w:sz="6" w:space="0"/>
            </w:tcBorders>
            <w:shd w:val="clear" w:color="auto" w:fill="auto"/>
            <w:vAlign w:val="center"/>
          </w:tcPr>
          <w:p>
            <w:pPr>
              <w:ind w:firstLine="480" w:firstLineChars="200"/>
              <w:jc w:val="center"/>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372" w:type="dxa"/>
            <w:gridSpan w:val="2"/>
            <w:shd w:val="clear" w:color="auto" w:fill="auto"/>
            <w:vAlign w:val="center"/>
          </w:tcPr>
          <w:p>
            <w:pPr>
              <w:ind w:firstLine="422" w:firstLineChars="200"/>
              <w:jc w:val="center"/>
              <w:rPr>
                <w:rFonts w:ascii="方正书宋_GBK" w:eastAsia="方正书宋_GBK"/>
                <w:b/>
              </w:rPr>
            </w:pPr>
            <w:r>
              <w:rPr>
                <w:rFonts w:hint="eastAsia" w:ascii="方正书宋_GBK" w:eastAsia="方正书宋_GBK"/>
                <w:b/>
              </w:rPr>
              <w:t>政府采购项目来源</w:t>
            </w:r>
          </w:p>
        </w:tc>
        <w:tc>
          <w:tcPr>
            <w:tcW w:w="887" w:type="dxa"/>
            <w:vMerge w:val="restart"/>
            <w:shd w:val="clear" w:color="auto" w:fill="auto"/>
            <w:vAlign w:val="center"/>
          </w:tcPr>
          <w:p>
            <w:pPr>
              <w:rPr>
                <w:rFonts w:ascii="方正书宋_GBK" w:eastAsia="方正书宋_GBK"/>
                <w:b/>
              </w:rPr>
            </w:pPr>
            <w:r>
              <w:rPr>
                <w:rFonts w:hint="eastAsia" w:ascii="方正书宋_GBK" w:eastAsia="方正书宋_GBK"/>
                <w:b/>
              </w:rPr>
              <w:t>采购物品名称</w:t>
            </w:r>
          </w:p>
        </w:tc>
        <w:tc>
          <w:tcPr>
            <w:tcW w:w="899" w:type="dxa"/>
            <w:vMerge w:val="restart"/>
            <w:shd w:val="clear" w:color="auto" w:fill="auto"/>
            <w:vAlign w:val="center"/>
          </w:tcPr>
          <w:p>
            <w:pPr>
              <w:rPr>
                <w:rFonts w:ascii="方正书宋_GBK" w:eastAsia="方正书宋_GBK"/>
                <w:b/>
              </w:rPr>
            </w:pPr>
            <w:r>
              <w:rPr>
                <w:rFonts w:hint="eastAsia" w:ascii="方正书宋_GBK" w:eastAsia="方正书宋_GBK"/>
                <w:b/>
              </w:rPr>
              <w:t>政府采购目录序号</w:t>
            </w:r>
          </w:p>
        </w:tc>
        <w:tc>
          <w:tcPr>
            <w:tcW w:w="675" w:type="dxa"/>
            <w:vMerge w:val="restart"/>
            <w:shd w:val="clear" w:color="auto" w:fill="auto"/>
            <w:vAlign w:val="center"/>
          </w:tcPr>
          <w:p>
            <w:pPr>
              <w:rPr>
                <w:rFonts w:ascii="方正书宋_GBK" w:eastAsia="方正书宋_GBK"/>
                <w:b/>
              </w:rPr>
            </w:pPr>
            <w:r>
              <w:rPr>
                <w:rFonts w:hint="eastAsia" w:ascii="方正书宋_GBK" w:eastAsia="方正书宋_GBK"/>
                <w:b/>
              </w:rPr>
              <w:t>数量</w:t>
            </w:r>
            <w:r>
              <w:rPr>
                <w:rFonts w:ascii="方正书宋_GBK" w:eastAsia="方正书宋_GBK"/>
                <w:b/>
              </w:rPr>
              <w:t xml:space="preserve">  </w:t>
            </w:r>
            <w:r>
              <w:rPr>
                <w:rFonts w:hint="eastAsia" w:ascii="方正书宋_GBK" w:eastAsia="方正书宋_GBK"/>
                <w:b/>
              </w:rPr>
              <w:t>单位</w:t>
            </w:r>
          </w:p>
        </w:tc>
        <w:tc>
          <w:tcPr>
            <w:tcW w:w="676" w:type="dxa"/>
            <w:vMerge w:val="restart"/>
            <w:shd w:val="clear" w:color="auto" w:fill="auto"/>
            <w:vAlign w:val="center"/>
          </w:tcPr>
          <w:p>
            <w:pPr>
              <w:rPr>
                <w:rFonts w:ascii="方正书宋_GBK" w:eastAsia="方正书宋_GBK"/>
                <w:b/>
              </w:rPr>
            </w:pPr>
            <w:r>
              <w:rPr>
                <w:rFonts w:hint="eastAsia" w:ascii="方正书宋_GBK" w:eastAsia="方正书宋_GBK"/>
                <w:b/>
              </w:rPr>
              <w:t>数量</w:t>
            </w:r>
          </w:p>
        </w:tc>
        <w:tc>
          <w:tcPr>
            <w:tcW w:w="766" w:type="dxa"/>
            <w:vMerge w:val="restart"/>
            <w:shd w:val="clear" w:color="auto" w:fill="auto"/>
            <w:vAlign w:val="center"/>
          </w:tcPr>
          <w:p>
            <w:pPr>
              <w:rPr>
                <w:rFonts w:ascii="方正书宋_GBK" w:eastAsia="方正书宋_GBK"/>
                <w:b/>
              </w:rPr>
            </w:pPr>
            <w:r>
              <w:rPr>
                <w:rFonts w:hint="eastAsia" w:ascii="方正书宋_GBK" w:eastAsia="方正书宋_GBK"/>
                <w:b/>
              </w:rPr>
              <w:t>单价</w:t>
            </w:r>
          </w:p>
        </w:tc>
        <w:tc>
          <w:tcPr>
            <w:tcW w:w="7293" w:type="dxa"/>
            <w:gridSpan w:val="7"/>
            <w:shd w:val="clear" w:color="auto" w:fill="auto"/>
            <w:vAlign w:val="center"/>
          </w:tcPr>
          <w:p>
            <w:pPr>
              <w:ind w:firstLine="422" w:firstLineChars="200"/>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359" w:type="dxa"/>
            <w:vMerge w:val="restart"/>
            <w:shd w:val="clear" w:color="auto" w:fill="auto"/>
            <w:vAlign w:val="center"/>
          </w:tcPr>
          <w:p>
            <w:pPr>
              <w:ind w:firstLine="422" w:firstLineChars="200"/>
              <w:jc w:val="center"/>
              <w:rPr>
                <w:rFonts w:ascii="方正书宋_GBK" w:eastAsia="方正书宋_GBK"/>
                <w:b/>
              </w:rPr>
            </w:pPr>
            <w:r>
              <w:rPr>
                <w:rFonts w:hint="eastAsia" w:ascii="方正书宋_GBK" w:eastAsia="方正书宋_GBK"/>
                <w:b/>
              </w:rPr>
              <w:t>项目名称</w:t>
            </w:r>
          </w:p>
        </w:tc>
        <w:tc>
          <w:tcPr>
            <w:tcW w:w="1013" w:type="dxa"/>
            <w:vMerge w:val="restart"/>
            <w:shd w:val="clear" w:color="auto" w:fill="auto"/>
            <w:vAlign w:val="center"/>
          </w:tcPr>
          <w:p>
            <w:pPr>
              <w:rPr>
                <w:rFonts w:ascii="方正书宋_GBK" w:eastAsia="方正书宋_GBK"/>
                <w:b/>
              </w:rPr>
            </w:pPr>
            <w:r>
              <w:rPr>
                <w:rFonts w:hint="eastAsia" w:ascii="方正书宋_GBK" w:eastAsia="方正书宋_GBK"/>
                <w:b/>
              </w:rPr>
              <w:t>预算</w:t>
            </w:r>
          </w:p>
          <w:p>
            <w:pPr>
              <w:rPr>
                <w:rFonts w:ascii="方正书宋_GBK" w:eastAsia="方正书宋_GBK"/>
                <w:b/>
              </w:rPr>
            </w:pPr>
            <w:r>
              <w:rPr>
                <w:rFonts w:hint="eastAsia" w:ascii="方正书宋_GBK" w:eastAsia="方正书宋_GBK"/>
                <w:b/>
              </w:rPr>
              <w:t>资金</w:t>
            </w:r>
          </w:p>
        </w:tc>
        <w:tc>
          <w:tcPr>
            <w:tcW w:w="887" w:type="dxa"/>
            <w:vMerge w:val="continue"/>
            <w:shd w:val="clear" w:color="auto" w:fill="auto"/>
            <w:vAlign w:val="center"/>
          </w:tcPr>
          <w:p>
            <w:pPr>
              <w:ind w:firstLine="420" w:firstLineChars="200"/>
              <w:jc w:val="center"/>
              <w:outlineLvl w:val="0"/>
            </w:pPr>
          </w:p>
        </w:tc>
        <w:tc>
          <w:tcPr>
            <w:tcW w:w="899" w:type="dxa"/>
            <w:vMerge w:val="continue"/>
            <w:shd w:val="clear" w:color="auto" w:fill="auto"/>
            <w:vAlign w:val="center"/>
          </w:tcPr>
          <w:p>
            <w:pPr>
              <w:ind w:firstLine="420" w:firstLineChars="200"/>
              <w:jc w:val="center"/>
              <w:outlineLvl w:val="0"/>
            </w:pPr>
          </w:p>
        </w:tc>
        <w:tc>
          <w:tcPr>
            <w:tcW w:w="675" w:type="dxa"/>
            <w:vMerge w:val="continue"/>
            <w:shd w:val="clear" w:color="auto" w:fill="auto"/>
            <w:vAlign w:val="center"/>
          </w:tcPr>
          <w:p>
            <w:pPr>
              <w:ind w:firstLine="420" w:firstLineChars="200"/>
              <w:jc w:val="center"/>
              <w:outlineLvl w:val="0"/>
            </w:pPr>
          </w:p>
        </w:tc>
        <w:tc>
          <w:tcPr>
            <w:tcW w:w="676" w:type="dxa"/>
            <w:vMerge w:val="continue"/>
            <w:shd w:val="clear" w:color="auto" w:fill="auto"/>
            <w:vAlign w:val="center"/>
          </w:tcPr>
          <w:p>
            <w:pPr>
              <w:ind w:firstLine="420" w:firstLineChars="200"/>
              <w:jc w:val="center"/>
              <w:outlineLvl w:val="0"/>
            </w:pPr>
          </w:p>
        </w:tc>
        <w:tc>
          <w:tcPr>
            <w:tcW w:w="766" w:type="dxa"/>
            <w:vMerge w:val="continue"/>
            <w:shd w:val="clear" w:color="auto" w:fill="auto"/>
            <w:vAlign w:val="center"/>
          </w:tcPr>
          <w:p>
            <w:pPr>
              <w:ind w:firstLine="420" w:firstLineChars="200"/>
              <w:jc w:val="center"/>
              <w:outlineLvl w:val="0"/>
            </w:pPr>
          </w:p>
        </w:tc>
        <w:tc>
          <w:tcPr>
            <w:tcW w:w="1275" w:type="dxa"/>
            <w:vMerge w:val="restart"/>
            <w:shd w:val="clear" w:color="auto" w:fill="auto"/>
            <w:vAlign w:val="center"/>
          </w:tcPr>
          <w:p>
            <w:pPr>
              <w:ind w:firstLine="422" w:firstLineChars="200"/>
              <w:jc w:val="center"/>
              <w:rPr>
                <w:rFonts w:ascii="方正书宋_GBK" w:eastAsia="方正书宋_GBK"/>
                <w:b/>
              </w:rPr>
            </w:pPr>
            <w:r>
              <w:rPr>
                <w:rFonts w:hint="eastAsia" w:ascii="方正书宋_GBK" w:eastAsia="方正书宋_GBK"/>
                <w:b/>
              </w:rPr>
              <w:t>总计</w:t>
            </w:r>
          </w:p>
        </w:tc>
        <w:tc>
          <w:tcPr>
            <w:tcW w:w="5185" w:type="dxa"/>
            <w:gridSpan w:val="5"/>
            <w:shd w:val="clear" w:color="auto" w:fill="auto"/>
            <w:vAlign w:val="center"/>
          </w:tcPr>
          <w:p>
            <w:pPr>
              <w:ind w:firstLine="422" w:firstLineChars="200"/>
              <w:jc w:val="center"/>
              <w:rPr>
                <w:rFonts w:ascii="方正书宋_GBK" w:eastAsia="方正书宋_GBK"/>
                <w:b/>
              </w:rPr>
            </w:pPr>
            <w:r>
              <w:rPr>
                <w:rFonts w:hint="eastAsia" w:ascii="方正书宋_GBK" w:eastAsia="方正书宋_GBK"/>
                <w:b/>
              </w:rPr>
              <w:t>当年部门预算安排资金</w:t>
            </w:r>
          </w:p>
        </w:tc>
        <w:tc>
          <w:tcPr>
            <w:tcW w:w="833" w:type="dxa"/>
            <w:vMerge w:val="restart"/>
            <w:shd w:val="clear" w:color="auto" w:fill="auto"/>
            <w:vAlign w:val="center"/>
          </w:tcPr>
          <w:p>
            <w:pPr>
              <w:ind w:left="210" w:leftChars="100"/>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359" w:type="dxa"/>
            <w:vMerge w:val="continue"/>
            <w:shd w:val="clear" w:color="auto" w:fill="auto"/>
            <w:vAlign w:val="center"/>
          </w:tcPr>
          <w:p>
            <w:pPr>
              <w:ind w:firstLine="420" w:firstLineChars="200"/>
              <w:jc w:val="center"/>
              <w:outlineLvl w:val="0"/>
            </w:pPr>
          </w:p>
        </w:tc>
        <w:tc>
          <w:tcPr>
            <w:tcW w:w="1013" w:type="dxa"/>
            <w:vMerge w:val="continue"/>
            <w:shd w:val="clear" w:color="auto" w:fill="auto"/>
            <w:vAlign w:val="center"/>
          </w:tcPr>
          <w:p>
            <w:pPr>
              <w:ind w:firstLine="420" w:firstLineChars="200"/>
              <w:jc w:val="center"/>
              <w:outlineLvl w:val="0"/>
            </w:pPr>
          </w:p>
        </w:tc>
        <w:tc>
          <w:tcPr>
            <w:tcW w:w="887" w:type="dxa"/>
            <w:vMerge w:val="continue"/>
            <w:shd w:val="clear" w:color="auto" w:fill="auto"/>
            <w:vAlign w:val="center"/>
          </w:tcPr>
          <w:p>
            <w:pPr>
              <w:ind w:firstLine="420" w:firstLineChars="200"/>
              <w:jc w:val="center"/>
              <w:outlineLvl w:val="0"/>
            </w:pPr>
          </w:p>
        </w:tc>
        <w:tc>
          <w:tcPr>
            <w:tcW w:w="899" w:type="dxa"/>
            <w:vMerge w:val="continue"/>
            <w:shd w:val="clear" w:color="auto" w:fill="auto"/>
            <w:vAlign w:val="center"/>
          </w:tcPr>
          <w:p>
            <w:pPr>
              <w:ind w:firstLine="420" w:firstLineChars="200"/>
              <w:jc w:val="center"/>
              <w:outlineLvl w:val="0"/>
            </w:pPr>
          </w:p>
        </w:tc>
        <w:tc>
          <w:tcPr>
            <w:tcW w:w="675" w:type="dxa"/>
            <w:vMerge w:val="continue"/>
            <w:shd w:val="clear" w:color="auto" w:fill="auto"/>
            <w:vAlign w:val="center"/>
          </w:tcPr>
          <w:p>
            <w:pPr>
              <w:ind w:firstLine="420" w:firstLineChars="200"/>
              <w:jc w:val="center"/>
              <w:outlineLvl w:val="0"/>
            </w:pPr>
          </w:p>
        </w:tc>
        <w:tc>
          <w:tcPr>
            <w:tcW w:w="676" w:type="dxa"/>
            <w:vMerge w:val="continue"/>
            <w:shd w:val="clear" w:color="auto" w:fill="auto"/>
            <w:vAlign w:val="center"/>
          </w:tcPr>
          <w:p>
            <w:pPr>
              <w:ind w:firstLine="420" w:firstLineChars="200"/>
              <w:jc w:val="center"/>
              <w:outlineLvl w:val="0"/>
            </w:pPr>
          </w:p>
        </w:tc>
        <w:tc>
          <w:tcPr>
            <w:tcW w:w="766" w:type="dxa"/>
            <w:vMerge w:val="continue"/>
            <w:shd w:val="clear" w:color="auto" w:fill="auto"/>
            <w:vAlign w:val="center"/>
          </w:tcPr>
          <w:p>
            <w:pPr>
              <w:ind w:firstLine="420" w:firstLineChars="200"/>
              <w:jc w:val="center"/>
              <w:outlineLvl w:val="0"/>
            </w:pPr>
          </w:p>
        </w:tc>
        <w:tc>
          <w:tcPr>
            <w:tcW w:w="1275" w:type="dxa"/>
            <w:vMerge w:val="continue"/>
            <w:shd w:val="clear" w:color="auto" w:fill="auto"/>
            <w:vAlign w:val="center"/>
          </w:tcPr>
          <w:p>
            <w:pPr>
              <w:ind w:firstLine="420" w:firstLineChars="200"/>
              <w:jc w:val="center"/>
              <w:outlineLvl w:val="0"/>
            </w:pPr>
          </w:p>
        </w:tc>
        <w:tc>
          <w:tcPr>
            <w:tcW w:w="1275" w:type="dxa"/>
            <w:shd w:val="clear" w:color="auto" w:fill="auto"/>
            <w:vAlign w:val="center"/>
          </w:tcPr>
          <w:p>
            <w:pPr>
              <w:ind w:firstLine="422" w:firstLineChars="200"/>
              <w:jc w:val="center"/>
              <w:rPr>
                <w:rFonts w:ascii="方正书宋_GBK" w:eastAsia="方正书宋_GBK"/>
                <w:b/>
              </w:rPr>
            </w:pPr>
            <w:r>
              <w:rPr>
                <w:rFonts w:hint="eastAsia" w:ascii="方正书宋_GBK" w:eastAsia="方正书宋_GBK"/>
                <w:b/>
              </w:rPr>
              <w:t>合计</w:t>
            </w:r>
          </w:p>
        </w:tc>
        <w:tc>
          <w:tcPr>
            <w:tcW w:w="1275" w:type="dxa"/>
            <w:shd w:val="clear" w:color="auto" w:fill="auto"/>
            <w:vAlign w:val="center"/>
          </w:tcPr>
          <w:p>
            <w:pPr>
              <w:rPr>
                <w:rFonts w:ascii="方正书宋_GBK" w:eastAsia="方正书宋_GBK"/>
                <w:b/>
              </w:rPr>
            </w:pPr>
            <w:r>
              <w:rPr>
                <w:rFonts w:hint="eastAsia" w:ascii="方正书宋_GBK" w:eastAsia="方正书宋_GBK"/>
                <w:b/>
              </w:rPr>
              <w:t>一般公共预算拨款</w:t>
            </w:r>
          </w:p>
        </w:tc>
        <w:tc>
          <w:tcPr>
            <w:tcW w:w="877" w:type="dxa"/>
            <w:shd w:val="clear" w:color="auto" w:fill="auto"/>
            <w:vAlign w:val="center"/>
          </w:tcPr>
          <w:p>
            <w:pPr>
              <w:rPr>
                <w:rFonts w:ascii="方正书宋_GBK" w:eastAsia="方正书宋_GBK"/>
                <w:b/>
              </w:rPr>
            </w:pPr>
            <w:r>
              <w:rPr>
                <w:rFonts w:hint="eastAsia" w:ascii="方正书宋_GBK" w:eastAsia="方正书宋_GBK"/>
                <w:b/>
              </w:rPr>
              <w:t>基金预算拨款</w:t>
            </w:r>
          </w:p>
        </w:tc>
        <w:tc>
          <w:tcPr>
            <w:tcW w:w="879" w:type="dxa"/>
            <w:shd w:val="clear" w:color="auto" w:fill="auto"/>
            <w:vAlign w:val="center"/>
          </w:tcPr>
          <w:p>
            <w:pPr>
              <w:rPr>
                <w:rFonts w:ascii="方正书宋_GBK" w:eastAsia="方正书宋_GBK"/>
                <w:b/>
              </w:rPr>
            </w:pPr>
            <w:r>
              <w:rPr>
                <w:rFonts w:hint="eastAsia" w:ascii="方正书宋_GBK" w:eastAsia="方正书宋_GBK"/>
                <w:b/>
              </w:rPr>
              <w:t>财政专户核拨</w:t>
            </w:r>
          </w:p>
        </w:tc>
        <w:tc>
          <w:tcPr>
            <w:tcW w:w="879" w:type="dxa"/>
            <w:shd w:val="clear" w:color="auto" w:fill="auto"/>
            <w:vAlign w:val="center"/>
          </w:tcPr>
          <w:p>
            <w:pPr>
              <w:rPr>
                <w:rFonts w:ascii="方正书宋_GBK" w:eastAsia="方正书宋_GBK"/>
                <w:b/>
              </w:rPr>
            </w:pPr>
            <w:r>
              <w:rPr>
                <w:rFonts w:hint="eastAsia" w:ascii="方正书宋_GBK" w:eastAsia="方正书宋_GBK"/>
                <w:b/>
              </w:rPr>
              <w:t>其他来源收入</w:t>
            </w:r>
          </w:p>
        </w:tc>
        <w:tc>
          <w:tcPr>
            <w:tcW w:w="833" w:type="dxa"/>
            <w:vMerge w:val="continue"/>
            <w:shd w:val="clear" w:color="auto" w:fill="auto"/>
            <w:vAlign w:val="center"/>
          </w:tcPr>
          <w:p>
            <w:pPr>
              <w:ind w:firstLine="420" w:firstLineChars="200"/>
              <w:jc w:val="center"/>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76" w:hRule="atLeast"/>
          <w:jc w:val="center"/>
        </w:trPr>
        <w:tc>
          <w:tcPr>
            <w:tcW w:w="2359" w:type="dxa"/>
            <w:shd w:val="clear" w:color="auto" w:fill="auto"/>
            <w:vAlign w:val="center"/>
          </w:tcPr>
          <w:p>
            <w:pPr>
              <w:ind w:firstLine="422" w:firstLineChars="200"/>
              <w:jc w:val="center"/>
              <w:rPr>
                <w:rFonts w:ascii="方正书宋_GBK" w:eastAsia="方正书宋_GBK"/>
                <w:b/>
              </w:rPr>
            </w:pPr>
            <w:r>
              <w:rPr>
                <w:rFonts w:hint="eastAsia" w:ascii="方正书宋_GBK" w:eastAsia="方正书宋_GBK"/>
                <w:b/>
              </w:rPr>
              <w:t>合　计</w:t>
            </w:r>
          </w:p>
        </w:tc>
        <w:tc>
          <w:tcPr>
            <w:tcW w:w="1013" w:type="dxa"/>
            <w:shd w:val="clear" w:color="auto" w:fill="auto"/>
            <w:vAlign w:val="center"/>
          </w:tcPr>
          <w:p>
            <w:pPr>
              <w:ind w:firstLine="422" w:firstLineChars="200"/>
              <w:jc w:val="center"/>
              <w:rPr>
                <w:rFonts w:ascii="方正书宋_GBK" w:eastAsia="方正书宋_GBK"/>
                <w:b/>
              </w:rPr>
            </w:pPr>
          </w:p>
        </w:tc>
        <w:tc>
          <w:tcPr>
            <w:tcW w:w="887" w:type="dxa"/>
            <w:shd w:val="clear" w:color="auto" w:fill="auto"/>
            <w:vAlign w:val="center"/>
          </w:tcPr>
          <w:p>
            <w:pPr>
              <w:ind w:firstLine="422" w:firstLineChars="200"/>
              <w:jc w:val="center"/>
              <w:rPr>
                <w:rFonts w:ascii="方正书宋_GBK" w:eastAsia="方正书宋_GBK"/>
                <w:b/>
              </w:rPr>
            </w:pPr>
          </w:p>
        </w:tc>
        <w:tc>
          <w:tcPr>
            <w:tcW w:w="899" w:type="dxa"/>
            <w:shd w:val="clear" w:color="auto" w:fill="auto"/>
            <w:vAlign w:val="center"/>
          </w:tcPr>
          <w:p>
            <w:pPr>
              <w:ind w:firstLine="422" w:firstLineChars="200"/>
              <w:jc w:val="center"/>
              <w:rPr>
                <w:rFonts w:ascii="方正书宋_GBK" w:eastAsia="方正书宋_GBK"/>
                <w:b/>
              </w:rPr>
            </w:pPr>
          </w:p>
        </w:tc>
        <w:tc>
          <w:tcPr>
            <w:tcW w:w="675" w:type="dxa"/>
            <w:shd w:val="clear" w:color="auto" w:fill="auto"/>
            <w:vAlign w:val="center"/>
          </w:tcPr>
          <w:p>
            <w:pPr>
              <w:ind w:firstLine="422" w:firstLineChars="200"/>
              <w:jc w:val="center"/>
              <w:rPr>
                <w:rFonts w:ascii="方正书宋_GBK" w:eastAsia="方正书宋_GBK"/>
                <w:b/>
              </w:rPr>
            </w:pPr>
          </w:p>
        </w:tc>
        <w:tc>
          <w:tcPr>
            <w:tcW w:w="676" w:type="dxa"/>
            <w:shd w:val="clear" w:color="auto" w:fill="auto"/>
            <w:vAlign w:val="center"/>
          </w:tcPr>
          <w:p>
            <w:pPr>
              <w:ind w:firstLine="422" w:firstLineChars="200"/>
              <w:jc w:val="center"/>
              <w:rPr>
                <w:rFonts w:ascii="方正书宋_GBK" w:eastAsia="方正书宋_GBK"/>
                <w:b/>
              </w:rPr>
            </w:pPr>
          </w:p>
        </w:tc>
        <w:tc>
          <w:tcPr>
            <w:tcW w:w="766" w:type="dxa"/>
            <w:shd w:val="clear" w:color="auto" w:fill="auto"/>
            <w:vAlign w:val="center"/>
          </w:tcPr>
          <w:p>
            <w:pPr>
              <w:ind w:firstLine="422" w:firstLineChars="200"/>
              <w:jc w:val="center"/>
              <w:rPr>
                <w:rFonts w:ascii="方正书宋_GBK" w:eastAsia="方正书宋_GBK"/>
                <w:b/>
              </w:rPr>
            </w:pPr>
          </w:p>
        </w:tc>
        <w:tc>
          <w:tcPr>
            <w:tcW w:w="1275" w:type="dxa"/>
            <w:shd w:val="clear" w:color="auto" w:fill="auto"/>
            <w:vAlign w:val="center"/>
          </w:tcPr>
          <w:p>
            <w:pPr>
              <w:ind w:right="424"/>
              <w:jc w:val="center"/>
              <w:rPr>
                <w:rFonts w:ascii="方正书宋_GBK" w:eastAsia="方正书宋_GBK"/>
                <w:b/>
              </w:rPr>
            </w:pPr>
            <w:r>
              <w:rPr>
                <w:rFonts w:ascii="方正书宋_GBK" w:eastAsia="方正书宋_GBK"/>
                <w:b/>
              </w:rPr>
              <w:t>110.98</w:t>
            </w:r>
          </w:p>
        </w:tc>
        <w:tc>
          <w:tcPr>
            <w:tcW w:w="1275" w:type="dxa"/>
            <w:shd w:val="clear" w:color="auto" w:fill="auto"/>
            <w:vAlign w:val="center"/>
          </w:tcPr>
          <w:p>
            <w:pPr>
              <w:ind w:right="424"/>
              <w:jc w:val="center"/>
              <w:rPr>
                <w:rFonts w:ascii="方正书宋_GBK" w:eastAsia="方正书宋_GBK"/>
                <w:b/>
              </w:rPr>
            </w:pPr>
            <w:r>
              <w:rPr>
                <w:rFonts w:ascii="方正书宋_GBK" w:eastAsia="方正书宋_GBK"/>
                <w:b/>
              </w:rPr>
              <w:t>110.98</w:t>
            </w:r>
          </w:p>
        </w:tc>
        <w:tc>
          <w:tcPr>
            <w:tcW w:w="1275" w:type="dxa"/>
            <w:shd w:val="clear" w:color="auto" w:fill="auto"/>
            <w:vAlign w:val="center"/>
          </w:tcPr>
          <w:p>
            <w:pPr>
              <w:ind w:right="424"/>
              <w:jc w:val="center"/>
              <w:rPr>
                <w:rFonts w:ascii="方正书宋_GBK" w:eastAsia="方正书宋_GBK"/>
                <w:b/>
              </w:rPr>
            </w:pPr>
            <w:r>
              <w:rPr>
                <w:rFonts w:ascii="方正书宋_GBK" w:eastAsia="方正书宋_GBK"/>
                <w:b/>
              </w:rPr>
              <w:t>110.98</w:t>
            </w:r>
          </w:p>
        </w:tc>
        <w:tc>
          <w:tcPr>
            <w:tcW w:w="877" w:type="dxa"/>
            <w:shd w:val="clear" w:color="auto" w:fill="auto"/>
            <w:vAlign w:val="center"/>
          </w:tcPr>
          <w:p>
            <w:pPr>
              <w:ind w:firstLine="422" w:firstLineChars="200"/>
              <w:jc w:val="center"/>
              <w:rPr>
                <w:rFonts w:ascii="方正书宋_GBK" w:eastAsia="方正书宋_GBK"/>
                <w:b/>
              </w:rPr>
            </w:pPr>
          </w:p>
        </w:tc>
        <w:tc>
          <w:tcPr>
            <w:tcW w:w="879" w:type="dxa"/>
            <w:shd w:val="clear" w:color="auto" w:fill="auto"/>
            <w:vAlign w:val="center"/>
          </w:tcPr>
          <w:p>
            <w:pPr>
              <w:ind w:firstLine="422" w:firstLineChars="200"/>
              <w:jc w:val="center"/>
              <w:rPr>
                <w:rFonts w:ascii="方正书宋_GBK" w:eastAsia="方正书宋_GBK"/>
                <w:b/>
              </w:rPr>
            </w:pPr>
          </w:p>
        </w:tc>
        <w:tc>
          <w:tcPr>
            <w:tcW w:w="879" w:type="dxa"/>
            <w:shd w:val="clear" w:color="auto" w:fill="auto"/>
            <w:vAlign w:val="center"/>
          </w:tcPr>
          <w:p>
            <w:pPr>
              <w:ind w:firstLine="422" w:firstLineChars="200"/>
              <w:jc w:val="center"/>
              <w:rPr>
                <w:rFonts w:ascii="方正书宋_GBK" w:eastAsia="方正书宋_GBK"/>
                <w:b/>
              </w:rPr>
            </w:pPr>
          </w:p>
        </w:tc>
        <w:tc>
          <w:tcPr>
            <w:tcW w:w="833" w:type="dxa"/>
            <w:shd w:val="clear" w:color="auto" w:fill="auto"/>
            <w:vAlign w:val="center"/>
          </w:tcPr>
          <w:p>
            <w:pPr>
              <w:ind w:firstLine="422" w:firstLineChars="200"/>
              <w:jc w:val="center"/>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59" w:type="dxa"/>
            <w:shd w:val="clear" w:color="auto" w:fill="auto"/>
            <w:vAlign w:val="center"/>
          </w:tcPr>
          <w:p>
            <w:pPr>
              <w:ind w:firstLine="422" w:firstLineChars="200"/>
              <w:jc w:val="center"/>
              <w:rPr>
                <w:rFonts w:ascii="方正书宋_GBK" w:eastAsia="方正书宋_GBK"/>
                <w:b/>
              </w:rPr>
            </w:pPr>
            <w:r>
              <w:rPr>
                <w:rFonts w:hint="eastAsia" w:ascii="方正书宋_GBK" w:eastAsia="方正书宋_GBK"/>
                <w:b/>
              </w:rPr>
              <w:t>曲阳县行政服务中心管理委员会小计</w:t>
            </w:r>
          </w:p>
        </w:tc>
        <w:tc>
          <w:tcPr>
            <w:tcW w:w="1013" w:type="dxa"/>
            <w:shd w:val="clear" w:color="auto" w:fill="auto"/>
            <w:vAlign w:val="center"/>
          </w:tcPr>
          <w:p>
            <w:pPr>
              <w:ind w:firstLine="422" w:firstLineChars="200"/>
              <w:jc w:val="center"/>
              <w:rPr>
                <w:rFonts w:ascii="方正书宋_GBK" w:eastAsia="方正书宋_GBK"/>
                <w:b/>
              </w:rPr>
            </w:pPr>
          </w:p>
        </w:tc>
        <w:tc>
          <w:tcPr>
            <w:tcW w:w="887" w:type="dxa"/>
            <w:shd w:val="clear" w:color="auto" w:fill="auto"/>
            <w:vAlign w:val="center"/>
          </w:tcPr>
          <w:p>
            <w:pPr>
              <w:ind w:firstLine="422" w:firstLineChars="200"/>
              <w:jc w:val="center"/>
              <w:rPr>
                <w:rFonts w:ascii="方正书宋_GBK" w:eastAsia="方正书宋_GBK"/>
                <w:b/>
              </w:rPr>
            </w:pPr>
          </w:p>
        </w:tc>
        <w:tc>
          <w:tcPr>
            <w:tcW w:w="899" w:type="dxa"/>
            <w:shd w:val="clear" w:color="auto" w:fill="auto"/>
            <w:vAlign w:val="center"/>
          </w:tcPr>
          <w:p>
            <w:pPr>
              <w:ind w:firstLine="422" w:firstLineChars="200"/>
              <w:jc w:val="center"/>
              <w:rPr>
                <w:rFonts w:ascii="方正书宋_GBK" w:eastAsia="方正书宋_GBK"/>
                <w:b/>
              </w:rPr>
            </w:pPr>
          </w:p>
        </w:tc>
        <w:tc>
          <w:tcPr>
            <w:tcW w:w="675" w:type="dxa"/>
            <w:shd w:val="clear" w:color="auto" w:fill="auto"/>
            <w:vAlign w:val="center"/>
          </w:tcPr>
          <w:p>
            <w:pPr>
              <w:ind w:firstLine="422" w:firstLineChars="200"/>
              <w:jc w:val="center"/>
              <w:rPr>
                <w:rFonts w:ascii="方正书宋_GBK" w:eastAsia="方正书宋_GBK"/>
                <w:b/>
              </w:rPr>
            </w:pPr>
          </w:p>
        </w:tc>
        <w:tc>
          <w:tcPr>
            <w:tcW w:w="676" w:type="dxa"/>
            <w:shd w:val="clear" w:color="auto" w:fill="auto"/>
            <w:vAlign w:val="center"/>
          </w:tcPr>
          <w:p>
            <w:pPr>
              <w:ind w:firstLine="422" w:firstLineChars="200"/>
              <w:jc w:val="center"/>
              <w:rPr>
                <w:rFonts w:ascii="方正书宋_GBK" w:eastAsia="方正书宋_GBK"/>
                <w:b/>
              </w:rPr>
            </w:pPr>
          </w:p>
        </w:tc>
        <w:tc>
          <w:tcPr>
            <w:tcW w:w="766" w:type="dxa"/>
            <w:shd w:val="clear" w:color="auto" w:fill="auto"/>
            <w:vAlign w:val="center"/>
          </w:tcPr>
          <w:p>
            <w:pPr>
              <w:ind w:firstLine="422" w:firstLineChars="200"/>
              <w:jc w:val="center"/>
              <w:rPr>
                <w:rFonts w:ascii="方正书宋_GBK" w:eastAsia="方正书宋_GBK"/>
                <w:b/>
              </w:rPr>
            </w:pPr>
          </w:p>
        </w:tc>
        <w:tc>
          <w:tcPr>
            <w:tcW w:w="1275" w:type="dxa"/>
            <w:shd w:val="clear" w:color="auto" w:fill="auto"/>
            <w:vAlign w:val="center"/>
          </w:tcPr>
          <w:p>
            <w:pPr>
              <w:rPr>
                <w:rFonts w:ascii="方正书宋_GBK" w:eastAsia="方正书宋_GBK"/>
                <w:b/>
              </w:rPr>
            </w:pPr>
            <w:r>
              <w:rPr>
                <w:rFonts w:ascii="方正书宋_GBK" w:eastAsia="方正书宋_GBK"/>
                <w:b/>
              </w:rPr>
              <w:t>110.98</w:t>
            </w:r>
          </w:p>
        </w:tc>
        <w:tc>
          <w:tcPr>
            <w:tcW w:w="1275" w:type="dxa"/>
            <w:shd w:val="clear" w:color="auto" w:fill="auto"/>
            <w:vAlign w:val="center"/>
          </w:tcPr>
          <w:p>
            <w:pPr>
              <w:rPr>
                <w:rFonts w:ascii="方正书宋_GBK" w:eastAsia="方正书宋_GBK"/>
                <w:b/>
              </w:rPr>
            </w:pPr>
            <w:r>
              <w:rPr>
                <w:rFonts w:ascii="方正书宋_GBK" w:eastAsia="方正书宋_GBK"/>
                <w:b/>
              </w:rPr>
              <w:t>110.98</w:t>
            </w:r>
          </w:p>
        </w:tc>
        <w:tc>
          <w:tcPr>
            <w:tcW w:w="1275" w:type="dxa"/>
            <w:shd w:val="clear" w:color="auto" w:fill="auto"/>
            <w:vAlign w:val="center"/>
          </w:tcPr>
          <w:p>
            <w:pPr>
              <w:rPr>
                <w:rFonts w:ascii="方正书宋_GBK" w:eastAsia="方正书宋_GBK"/>
                <w:b/>
              </w:rPr>
            </w:pPr>
            <w:r>
              <w:rPr>
                <w:rFonts w:ascii="方正书宋_GBK" w:eastAsia="方正书宋_GBK"/>
                <w:b/>
              </w:rPr>
              <w:t>110.98</w:t>
            </w:r>
          </w:p>
        </w:tc>
        <w:tc>
          <w:tcPr>
            <w:tcW w:w="877" w:type="dxa"/>
            <w:shd w:val="clear" w:color="auto" w:fill="auto"/>
            <w:vAlign w:val="center"/>
          </w:tcPr>
          <w:p>
            <w:pPr>
              <w:ind w:firstLine="422" w:firstLineChars="200"/>
              <w:jc w:val="center"/>
              <w:rPr>
                <w:rFonts w:ascii="方正书宋_GBK" w:eastAsia="方正书宋_GBK"/>
                <w:b/>
              </w:rPr>
            </w:pPr>
          </w:p>
        </w:tc>
        <w:tc>
          <w:tcPr>
            <w:tcW w:w="879" w:type="dxa"/>
            <w:shd w:val="clear" w:color="auto" w:fill="auto"/>
            <w:vAlign w:val="center"/>
          </w:tcPr>
          <w:p>
            <w:pPr>
              <w:ind w:firstLine="422" w:firstLineChars="200"/>
              <w:jc w:val="center"/>
              <w:rPr>
                <w:rFonts w:ascii="方正书宋_GBK" w:eastAsia="方正书宋_GBK"/>
                <w:b/>
              </w:rPr>
            </w:pPr>
          </w:p>
        </w:tc>
        <w:tc>
          <w:tcPr>
            <w:tcW w:w="879" w:type="dxa"/>
            <w:shd w:val="clear" w:color="auto" w:fill="auto"/>
            <w:vAlign w:val="center"/>
          </w:tcPr>
          <w:p>
            <w:pPr>
              <w:ind w:firstLine="422" w:firstLineChars="200"/>
              <w:jc w:val="center"/>
              <w:rPr>
                <w:rFonts w:ascii="方正书宋_GBK" w:eastAsia="方正书宋_GBK"/>
                <w:b/>
              </w:rPr>
            </w:pPr>
          </w:p>
        </w:tc>
        <w:tc>
          <w:tcPr>
            <w:tcW w:w="833" w:type="dxa"/>
            <w:shd w:val="clear" w:color="auto" w:fill="auto"/>
            <w:vAlign w:val="center"/>
          </w:tcPr>
          <w:p>
            <w:pPr>
              <w:ind w:firstLine="422" w:firstLineChars="200"/>
              <w:jc w:val="center"/>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59" w:type="dxa"/>
            <w:shd w:val="clear" w:color="auto" w:fill="auto"/>
            <w:vAlign w:val="center"/>
          </w:tcPr>
          <w:p>
            <w:pPr>
              <w:rPr>
                <w:rFonts w:ascii="方正书宋_GBK" w:eastAsia="方正书宋_GBK"/>
              </w:rPr>
            </w:pPr>
            <w:r>
              <w:rPr>
                <w:rFonts w:hint="eastAsia" w:ascii="方正书宋_GBK" w:eastAsia="方正书宋_GBK"/>
              </w:rPr>
              <w:t>行政审批局劳务派遣及保安保洁人员等经费</w:t>
            </w:r>
          </w:p>
        </w:tc>
        <w:tc>
          <w:tcPr>
            <w:tcW w:w="1013" w:type="dxa"/>
            <w:shd w:val="clear" w:color="auto" w:fill="auto"/>
            <w:vAlign w:val="center"/>
          </w:tcPr>
          <w:p>
            <w:pPr>
              <w:rPr>
                <w:rFonts w:ascii="方正书宋_GBK" w:eastAsia="方正书宋_GBK"/>
              </w:rPr>
            </w:pPr>
            <w:r>
              <w:rPr>
                <w:rFonts w:ascii="方正书宋_GBK" w:eastAsia="方正书宋_GBK"/>
              </w:rPr>
              <w:t>119.64</w:t>
            </w:r>
          </w:p>
        </w:tc>
        <w:tc>
          <w:tcPr>
            <w:tcW w:w="887" w:type="dxa"/>
            <w:shd w:val="clear" w:color="auto" w:fill="auto"/>
            <w:vAlign w:val="center"/>
          </w:tcPr>
          <w:p>
            <w:pPr>
              <w:rPr>
                <w:rFonts w:ascii="方正书宋_GBK" w:eastAsia="方正书宋_GBK"/>
              </w:rPr>
            </w:pPr>
            <w:r>
              <w:rPr>
                <w:rFonts w:hint="eastAsia" w:ascii="方正书宋_GBK" w:eastAsia="方正书宋_GBK"/>
              </w:rPr>
              <w:t>其他</w:t>
            </w:r>
          </w:p>
          <w:p>
            <w:pPr>
              <w:rPr>
                <w:rFonts w:ascii="方正书宋_GBK" w:eastAsia="方正书宋_GBK"/>
              </w:rPr>
            </w:pPr>
            <w:r>
              <w:rPr>
                <w:rFonts w:hint="eastAsia" w:ascii="方正书宋_GBK" w:eastAsia="方正书宋_GBK"/>
              </w:rPr>
              <w:t>服务</w:t>
            </w:r>
          </w:p>
        </w:tc>
        <w:tc>
          <w:tcPr>
            <w:tcW w:w="899" w:type="dxa"/>
            <w:shd w:val="clear" w:color="auto" w:fill="auto"/>
            <w:vAlign w:val="center"/>
          </w:tcPr>
          <w:p>
            <w:pPr>
              <w:rPr>
                <w:rFonts w:ascii="方正书宋_GBK" w:eastAsia="方正书宋_GBK"/>
              </w:rPr>
            </w:pPr>
            <w:r>
              <w:rPr>
                <w:rFonts w:ascii="方正书宋_GBK" w:eastAsia="方正书宋_GBK"/>
              </w:rPr>
              <w:t>C99</w:t>
            </w:r>
          </w:p>
        </w:tc>
        <w:tc>
          <w:tcPr>
            <w:tcW w:w="675" w:type="dxa"/>
            <w:shd w:val="clear" w:color="auto" w:fill="auto"/>
            <w:vAlign w:val="center"/>
          </w:tcPr>
          <w:p>
            <w:pPr>
              <w:ind w:firstLine="420" w:firstLineChars="200"/>
              <w:jc w:val="center"/>
              <w:rPr>
                <w:rFonts w:ascii="方正书宋_GBK" w:eastAsia="方正书宋_GBK"/>
              </w:rPr>
            </w:pPr>
            <w:r>
              <w:rPr>
                <w:rFonts w:hint="eastAsia" w:ascii="方正书宋_GBK" w:eastAsia="方正书宋_GBK"/>
              </w:rPr>
              <w:t>个</w:t>
            </w:r>
          </w:p>
        </w:tc>
        <w:tc>
          <w:tcPr>
            <w:tcW w:w="676" w:type="dxa"/>
            <w:shd w:val="clear" w:color="auto" w:fill="auto"/>
            <w:vAlign w:val="center"/>
          </w:tcPr>
          <w:p>
            <w:pPr>
              <w:rPr>
                <w:rFonts w:ascii="方正书宋_GBK" w:eastAsia="方正书宋_GBK"/>
              </w:rPr>
            </w:pPr>
            <w:r>
              <w:rPr>
                <w:rFonts w:ascii="方正书宋_GBK" w:eastAsia="方正书宋_GBK"/>
              </w:rPr>
              <w:t>1.00</w:t>
            </w:r>
          </w:p>
        </w:tc>
        <w:tc>
          <w:tcPr>
            <w:tcW w:w="766" w:type="dxa"/>
            <w:shd w:val="clear" w:color="auto" w:fill="auto"/>
            <w:vAlign w:val="center"/>
          </w:tcPr>
          <w:p>
            <w:pPr>
              <w:rPr>
                <w:rFonts w:ascii="方正书宋_GBK" w:eastAsia="方正书宋_GBK"/>
              </w:rPr>
            </w:pPr>
            <w:r>
              <w:rPr>
                <w:rFonts w:ascii="方正书宋_GBK" w:eastAsia="方正书宋_GBK"/>
              </w:rPr>
              <w:t>40.69</w:t>
            </w:r>
          </w:p>
        </w:tc>
        <w:tc>
          <w:tcPr>
            <w:tcW w:w="1275" w:type="dxa"/>
            <w:shd w:val="clear" w:color="auto" w:fill="auto"/>
            <w:vAlign w:val="center"/>
          </w:tcPr>
          <w:p>
            <w:pPr>
              <w:ind w:firstLine="420" w:firstLineChars="200"/>
              <w:jc w:val="center"/>
              <w:rPr>
                <w:rFonts w:ascii="方正书宋_GBK" w:eastAsia="方正书宋_GBK"/>
              </w:rPr>
            </w:pPr>
            <w:r>
              <w:rPr>
                <w:rFonts w:ascii="方正书宋_GBK" w:eastAsia="方正书宋_GBK"/>
              </w:rPr>
              <w:t>40.69</w:t>
            </w:r>
          </w:p>
        </w:tc>
        <w:tc>
          <w:tcPr>
            <w:tcW w:w="1275" w:type="dxa"/>
            <w:shd w:val="clear" w:color="auto" w:fill="auto"/>
            <w:vAlign w:val="center"/>
          </w:tcPr>
          <w:p>
            <w:pPr>
              <w:ind w:firstLine="420" w:firstLineChars="200"/>
              <w:jc w:val="center"/>
              <w:rPr>
                <w:rFonts w:ascii="方正书宋_GBK" w:eastAsia="方正书宋_GBK"/>
              </w:rPr>
            </w:pPr>
            <w:r>
              <w:rPr>
                <w:rFonts w:ascii="方正书宋_GBK" w:eastAsia="方正书宋_GBK"/>
              </w:rPr>
              <w:t>40.69</w:t>
            </w:r>
          </w:p>
        </w:tc>
        <w:tc>
          <w:tcPr>
            <w:tcW w:w="1275" w:type="dxa"/>
            <w:shd w:val="clear" w:color="auto" w:fill="auto"/>
            <w:vAlign w:val="center"/>
          </w:tcPr>
          <w:p>
            <w:pPr>
              <w:ind w:firstLine="420" w:firstLineChars="200"/>
              <w:jc w:val="center"/>
              <w:rPr>
                <w:rFonts w:ascii="方正书宋_GBK" w:eastAsia="方正书宋_GBK"/>
              </w:rPr>
            </w:pPr>
            <w:r>
              <w:rPr>
                <w:rFonts w:ascii="方正书宋_GBK" w:eastAsia="方正书宋_GBK"/>
              </w:rPr>
              <w:t>40.69</w:t>
            </w:r>
          </w:p>
        </w:tc>
        <w:tc>
          <w:tcPr>
            <w:tcW w:w="877" w:type="dxa"/>
            <w:shd w:val="clear" w:color="auto" w:fill="auto"/>
            <w:vAlign w:val="center"/>
          </w:tcPr>
          <w:p>
            <w:pPr>
              <w:ind w:firstLine="420" w:firstLineChars="200"/>
              <w:jc w:val="center"/>
              <w:rPr>
                <w:rFonts w:ascii="方正书宋_GBK" w:eastAsia="方正书宋_GBK"/>
              </w:rPr>
            </w:pPr>
          </w:p>
        </w:tc>
        <w:tc>
          <w:tcPr>
            <w:tcW w:w="879" w:type="dxa"/>
            <w:shd w:val="clear" w:color="auto" w:fill="auto"/>
            <w:vAlign w:val="center"/>
          </w:tcPr>
          <w:p>
            <w:pPr>
              <w:ind w:firstLine="420" w:firstLineChars="200"/>
              <w:jc w:val="center"/>
              <w:rPr>
                <w:rFonts w:ascii="方正书宋_GBK" w:eastAsia="方正书宋_GBK"/>
              </w:rPr>
            </w:pPr>
          </w:p>
        </w:tc>
        <w:tc>
          <w:tcPr>
            <w:tcW w:w="879" w:type="dxa"/>
            <w:shd w:val="clear" w:color="auto" w:fill="auto"/>
            <w:vAlign w:val="center"/>
          </w:tcPr>
          <w:p>
            <w:pPr>
              <w:ind w:firstLine="420" w:firstLineChars="200"/>
              <w:jc w:val="center"/>
              <w:rPr>
                <w:rFonts w:ascii="方正书宋_GBK" w:eastAsia="方正书宋_GBK"/>
              </w:rPr>
            </w:pPr>
          </w:p>
        </w:tc>
        <w:tc>
          <w:tcPr>
            <w:tcW w:w="833" w:type="dxa"/>
            <w:shd w:val="clear" w:color="auto" w:fill="auto"/>
            <w:vAlign w:val="center"/>
          </w:tcPr>
          <w:p>
            <w:pPr>
              <w:ind w:firstLine="420" w:firstLineChars="200"/>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59" w:type="dxa"/>
            <w:shd w:val="clear" w:color="auto" w:fill="auto"/>
            <w:vAlign w:val="center"/>
          </w:tcPr>
          <w:p>
            <w:pPr>
              <w:rPr>
                <w:rFonts w:ascii="方正书宋_GBK" w:eastAsia="方正书宋_GBK"/>
              </w:rPr>
            </w:pPr>
            <w:r>
              <w:rPr>
                <w:rFonts w:hint="eastAsia" w:ascii="方正书宋_GBK" w:eastAsia="方正书宋_GBK"/>
              </w:rPr>
              <w:t>行政审批局劳务派遣及保安保洁人员等经费</w:t>
            </w:r>
          </w:p>
        </w:tc>
        <w:tc>
          <w:tcPr>
            <w:tcW w:w="1013" w:type="dxa"/>
            <w:shd w:val="clear" w:color="auto" w:fill="auto"/>
            <w:vAlign w:val="center"/>
          </w:tcPr>
          <w:p>
            <w:pPr>
              <w:rPr>
                <w:rFonts w:ascii="方正书宋_GBK" w:eastAsia="方正书宋_GBK"/>
              </w:rPr>
            </w:pPr>
            <w:r>
              <w:rPr>
                <w:rFonts w:ascii="方正书宋_GBK" w:eastAsia="方正书宋_GBK"/>
              </w:rPr>
              <w:t>119.64</w:t>
            </w:r>
          </w:p>
        </w:tc>
        <w:tc>
          <w:tcPr>
            <w:tcW w:w="887" w:type="dxa"/>
            <w:shd w:val="clear" w:color="auto" w:fill="auto"/>
            <w:vAlign w:val="center"/>
          </w:tcPr>
          <w:p>
            <w:pPr>
              <w:rPr>
                <w:rFonts w:ascii="方正书宋_GBK" w:eastAsia="方正书宋_GBK"/>
              </w:rPr>
            </w:pPr>
            <w:r>
              <w:rPr>
                <w:rFonts w:hint="eastAsia" w:ascii="方正书宋_GBK" w:eastAsia="方正书宋_GBK"/>
              </w:rPr>
              <w:t>物业管理服务</w:t>
            </w:r>
          </w:p>
        </w:tc>
        <w:tc>
          <w:tcPr>
            <w:tcW w:w="899" w:type="dxa"/>
            <w:shd w:val="clear" w:color="auto" w:fill="auto"/>
            <w:vAlign w:val="center"/>
          </w:tcPr>
          <w:p>
            <w:pPr>
              <w:rPr>
                <w:rFonts w:ascii="方正书宋_GBK" w:eastAsia="方正书宋_GBK"/>
              </w:rPr>
            </w:pPr>
            <w:r>
              <w:rPr>
                <w:rFonts w:ascii="方正书宋_GBK" w:eastAsia="方正书宋_GBK"/>
              </w:rPr>
              <w:t>C1204</w:t>
            </w:r>
          </w:p>
        </w:tc>
        <w:tc>
          <w:tcPr>
            <w:tcW w:w="675" w:type="dxa"/>
            <w:shd w:val="clear" w:color="auto" w:fill="auto"/>
            <w:vAlign w:val="center"/>
          </w:tcPr>
          <w:p>
            <w:pPr>
              <w:ind w:firstLine="420" w:firstLineChars="200"/>
              <w:jc w:val="center"/>
              <w:rPr>
                <w:rFonts w:ascii="方正书宋_GBK" w:eastAsia="方正书宋_GBK"/>
              </w:rPr>
            </w:pPr>
          </w:p>
        </w:tc>
        <w:tc>
          <w:tcPr>
            <w:tcW w:w="676" w:type="dxa"/>
            <w:shd w:val="clear" w:color="auto" w:fill="auto"/>
            <w:vAlign w:val="center"/>
          </w:tcPr>
          <w:p>
            <w:pPr>
              <w:rPr>
                <w:rFonts w:ascii="方正书宋_GBK" w:eastAsia="方正书宋_GBK"/>
              </w:rPr>
            </w:pPr>
            <w:r>
              <w:rPr>
                <w:rFonts w:ascii="方正书宋_GBK" w:eastAsia="方正书宋_GBK"/>
              </w:rPr>
              <w:t>1.00</w:t>
            </w:r>
          </w:p>
        </w:tc>
        <w:tc>
          <w:tcPr>
            <w:tcW w:w="766" w:type="dxa"/>
            <w:shd w:val="clear" w:color="auto" w:fill="auto"/>
            <w:vAlign w:val="center"/>
          </w:tcPr>
          <w:p>
            <w:pPr>
              <w:rPr>
                <w:rFonts w:ascii="方正书宋_GBK" w:eastAsia="方正书宋_GBK"/>
              </w:rPr>
            </w:pPr>
            <w:r>
              <w:rPr>
                <w:rFonts w:ascii="方正书宋_GBK" w:eastAsia="方正书宋_GBK"/>
              </w:rPr>
              <w:t>34.77</w:t>
            </w:r>
          </w:p>
        </w:tc>
        <w:tc>
          <w:tcPr>
            <w:tcW w:w="1275" w:type="dxa"/>
            <w:shd w:val="clear" w:color="auto" w:fill="auto"/>
            <w:vAlign w:val="center"/>
          </w:tcPr>
          <w:p>
            <w:pPr>
              <w:ind w:firstLine="420" w:firstLineChars="200"/>
              <w:jc w:val="center"/>
              <w:rPr>
                <w:rFonts w:ascii="方正书宋_GBK" w:eastAsia="方正书宋_GBK"/>
              </w:rPr>
            </w:pPr>
            <w:r>
              <w:rPr>
                <w:rFonts w:ascii="方正书宋_GBK" w:eastAsia="方正书宋_GBK"/>
              </w:rPr>
              <w:t>34.77</w:t>
            </w:r>
          </w:p>
        </w:tc>
        <w:tc>
          <w:tcPr>
            <w:tcW w:w="1275" w:type="dxa"/>
            <w:shd w:val="clear" w:color="auto" w:fill="auto"/>
            <w:vAlign w:val="center"/>
          </w:tcPr>
          <w:p>
            <w:pPr>
              <w:ind w:firstLine="420" w:firstLineChars="200"/>
              <w:jc w:val="center"/>
              <w:rPr>
                <w:rFonts w:ascii="方正书宋_GBK" w:eastAsia="方正书宋_GBK"/>
              </w:rPr>
            </w:pPr>
            <w:r>
              <w:rPr>
                <w:rFonts w:ascii="方正书宋_GBK" w:eastAsia="方正书宋_GBK"/>
              </w:rPr>
              <w:t>34.77</w:t>
            </w:r>
          </w:p>
        </w:tc>
        <w:tc>
          <w:tcPr>
            <w:tcW w:w="1275" w:type="dxa"/>
            <w:shd w:val="clear" w:color="auto" w:fill="auto"/>
            <w:vAlign w:val="center"/>
          </w:tcPr>
          <w:p>
            <w:pPr>
              <w:ind w:firstLine="420" w:firstLineChars="200"/>
              <w:jc w:val="center"/>
              <w:rPr>
                <w:rFonts w:ascii="方正书宋_GBK" w:eastAsia="方正书宋_GBK"/>
              </w:rPr>
            </w:pPr>
            <w:r>
              <w:rPr>
                <w:rFonts w:ascii="方正书宋_GBK" w:eastAsia="方正书宋_GBK"/>
              </w:rPr>
              <w:t>34.77</w:t>
            </w:r>
          </w:p>
        </w:tc>
        <w:tc>
          <w:tcPr>
            <w:tcW w:w="877" w:type="dxa"/>
            <w:shd w:val="clear" w:color="auto" w:fill="auto"/>
            <w:vAlign w:val="center"/>
          </w:tcPr>
          <w:p>
            <w:pPr>
              <w:ind w:firstLine="420" w:firstLineChars="200"/>
              <w:jc w:val="center"/>
              <w:rPr>
                <w:rFonts w:ascii="方正书宋_GBK" w:eastAsia="方正书宋_GBK"/>
              </w:rPr>
            </w:pPr>
          </w:p>
        </w:tc>
        <w:tc>
          <w:tcPr>
            <w:tcW w:w="879" w:type="dxa"/>
            <w:shd w:val="clear" w:color="auto" w:fill="auto"/>
            <w:vAlign w:val="center"/>
          </w:tcPr>
          <w:p>
            <w:pPr>
              <w:ind w:firstLine="420" w:firstLineChars="200"/>
              <w:jc w:val="center"/>
              <w:rPr>
                <w:rFonts w:ascii="方正书宋_GBK" w:eastAsia="方正书宋_GBK"/>
              </w:rPr>
            </w:pPr>
          </w:p>
        </w:tc>
        <w:tc>
          <w:tcPr>
            <w:tcW w:w="879" w:type="dxa"/>
            <w:shd w:val="clear" w:color="auto" w:fill="auto"/>
            <w:vAlign w:val="center"/>
          </w:tcPr>
          <w:p>
            <w:pPr>
              <w:ind w:firstLine="420" w:firstLineChars="200"/>
              <w:jc w:val="center"/>
              <w:rPr>
                <w:rFonts w:ascii="方正书宋_GBK" w:eastAsia="方正书宋_GBK"/>
              </w:rPr>
            </w:pPr>
          </w:p>
        </w:tc>
        <w:tc>
          <w:tcPr>
            <w:tcW w:w="833" w:type="dxa"/>
            <w:shd w:val="clear" w:color="auto" w:fill="auto"/>
            <w:vAlign w:val="center"/>
          </w:tcPr>
          <w:p>
            <w:pPr>
              <w:ind w:firstLine="420" w:firstLineChars="200"/>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59" w:type="dxa"/>
            <w:shd w:val="clear" w:color="auto" w:fill="auto"/>
            <w:vAlign w:val="center"/>
          </w:tcPr>
          <w:p>
            <w:pPr>
              <w:ind w:firstLine="420" w:firstLineChars="200"/>
              <w:jc w:val="center"/>
              <w:rPr>
                <w:rFonts w:ascii="方正书宋_GBK" w:eastAsia="方正书宋_GBK"/>
              </w:rPr>
            </w:pPr>
            <w:r>
              <w:rPr>
                <w:rFonts w:hint="eastAsia" w:ascii="方正书宋_GBK" w:eastAsia="方正书宋_GBK"/>
              </w:rPr>
              <w:t>行政审批局劳务派遣及保安保洁人员等经费</w:t>
            </w:r>
          </w:p>
        </w:tc>
        <w:tc>
          <w:tcPr>
            <w:tcW w:w="1013" w:type="dxa"/>
            <w:shd w:val="clear" w:color="auto" w:fill="auto"/>
            <w:vAlign w:val="center"/>
          </w:tcPr>
          <w:p>
            <w:pPr>
              <w:rPr>
                <w:rFonts w:ascii="方正书宋_GBK" w:eastAsia="方正书宋_GBK"/>
              </w:rPr>
            </w:pPr>
            <w:r>
              <w:rPr>
                <w:rFonts w:ascii="方正书宋_GBK" w:eastAsia="方正书宋_GBK"/>
              </w:rPr>
              <w:t>119.64</w:t>
            </w:r>
          </w:p>
        </w:tc>
        <w:tc>
          <w:tcPr>
            <w:tcW w:w="887" w:type="dxa"/>
            <w:shd w:val="clear" w:color="auto" w:fill="auto"/>
            <w:vAlign w:val="center"/>
          </w:tcPr>
          <w:p>
            <w:pPr>
              <w:rPr>
                <w:rFonts w:ascii="方正书宋_GBK" w:eastAsia="方正书宋_GBK"/>
              </w:rPr>
            </w:pPr>
            <w:r>
              <w:rPr>
                <w:rFonts w:hint="eastAsia" w:ascii="方正书宋_GBK" w:eastAsia="方正书宋_GBK"/>
              </w:rPr>
              <w:t>物业管理服务</w:t>
            </w:r>
          </w:p>
        </w:tc>
        <w:tc>
          <w:tcPr>
            <w:tcW w:w="899" w:type="dxa"/>
            <w:shd w:val="clear" w:color="auto" w:fill="auto"/>
            <w:vAlign w:val="center"/>
          </w:tcPr>
          <w:p>
            <w:pPr>
              <w:rPr>
                <w:rFonts w:ascii="方正书宋_GBK" w:eastAsia="方正书宋_GBK"/>
              </w:rPr>
            </w:pPr>
            <w:r>
              <w:rPr>
                <w:rFonts w:ascii="方正书宋_GBK" w:eastAsia="方正书宋_GBK"/>
              </w:rPr>
              <w:t>C1204</w:t>
            </w:r>
          </w:p>
        </w:tc>
        <w:tc>
          <w:tcPr>
            <w:tcW w:w="675" w:type="dxa"/>
            <w:shd w:val="clear" w:color="auto" w:fill="auto"/>
            <w:vAlign w:val="center"/>
          </w:tcPr>
          <w:p>
            <w:pPr>
              <w:ind w:firstLine="420" w:firstLineChars="200"/>
              <w:jc w:val="center"/>
              <w:rPr>
                <w:rFonts w:ascii="方正书宋_GBK" w:eastAsia="方正书宋_GBK"/>
              </w:rPr>
            </w:pPr>
          </w:p>
        </w:tc>
        <w:tc>
          <w:tcPr>
            <w:tcW w:w="676" w:type="dxa"/>
            <w:shd w:val="clear" w:color="auto" w:fill="auto"/>
            <w:vAlign w:val="center"/>
          </w:tcPr>
          <w:p>
            <w:pPr>
              <w:rPr>
                <w:rFonts w:ascii="方正书宋_GBK" w:eastAsia="方正书宋_GBK"/>
              </w:rPr>
            </w:pPr>
            <w:r>
              <w:rPr>
                <w:rFonts w:ascii="方正书宋_GBK" w:eastAsia="方正书宋_GBK"/>
              </w:rPr>
              <w:t>1.00</w:t>
            </w:r>
          </w:p>
        </w:tc>
        <w:tc>
          <w:tcPr>
            <w:tcW w:w="766" w:type="dxa"/>
            <w:shd w:val="clear" w:color="auto" w:fill="auto"/>
            <w:vAlign w:val="center"/>
          </w:tcPr>
          <w:p>
            <w:pPr>
              <w:rPr>
                <w:rFonts w:ascii="方正书宋_GBK" w:eastAsia="方正书宋_GBK"/>
              </w:rPr>
            </w:pPr>
            <w:r>
              <w:rPr>
                <w:rFonts w:ascii="方正书宋_GBK" w:eastAsia="方正书宋_GBK"/>
              </w:rPr>
              <w:t>25.92</w:t>
            </w:r>
          </w:p>
        </w:tc>
        <w:tc>
          <w:tcPr>
            <w:tcW w:w="1275" w:type="dxa"/>
            <w:shd w:val="clear" w:color="auto" w:fill="auto"/>
            <w:vAlign w:val="center"/>
          </w:tcPr>
          <w:p>
            <w:pPr>
              <w:ind w:firstLine="420" w:firstLineChars="200"/>
              <w:jc w:val="center"/>
              <w:rPr>
                <w:rFonts w:ascii="方正书宋_GBK" w:eastAsia="方正书宋_GBK"/>
              </w:rPr>
            </w:pPr>
            <w:r>
              <w:rPr>
                <w:rFonts w:ascii="方正书宋_GBK" w:eastAsia="方正书宋_GBK"/>
              </w:rPr>
              <w:t>25.92</w:t>
            </w:r>
          </w:p>
        </w:tc>
        <w:tc>
          <w:tcPr>
            <w:tcW w:w="1275" w:type="dxa"/>
            <w:shd w:val="clear" w:color="auto" w:fill="auto"/>
            <w:vAlign w:val="center"/>
          </w:tcPr>
          <w:p>
            <w:pPr>
              <w:ind w:firstLine="420" w:firstLineChars="200"/>
              <w:jc w:val="center"/>
              <w:rPr>
                <w:rFonts w:ascii="方正书宋_GBK" w:eastAsia="方正书宋_GBK"/>
              </w:rPr>
            </w:pPr>
            <w:r>
              <w:rPr>
                <w:rFonts w:ascii="方正书宋_GBK" w:eastAsia="方正书宋_GBK"/>
              </w:rPr>
              <w:t>25.92</w:t>
            </w:r>
          </w:p>
        </w:tc>
        <w:tc>
          <w:tcPr>
            <w:tcW w:w="1275" w:type="dxa"/>
            <w:shd w:val="clear" w:color="auto" w:fill="auto"/>
            <w:vAlign w:val="center"/>
          </w:tcPr>
          <w:p>
            <w:pPr>
              <w:ind w:firstLine="420" w:firstLineChars="200"/>
              <w:jc w:val="center"/>
              <w:rPr>
                <w:rFonts w:ascii="方正书宋_GBK" w:eastAsia="方正书宋_GBK"/>
              </w:rPr>
            </w:pPr>
            <w:r>
              <w:rPr>
                <w:rFonts w:ascii="方正书宋_GBK" w:eastAsia="方正书宋_GBK"/>
              </w:rPr>
              <w:t>25.92</w:t>
            </w:r>
          </w:p>
        </w:tc>
        <w:tc>
          <w:tcPr>
            <w:tcW w:w="877" w:type="dxa"/>
            <w:shd w:val="clear" w:color="auto" w:fill="auto"/>
            <w:vAlign w:val="center"/>
          </w:tcPr>
          <w:p>
            <w:pPr>
              <w:ind w:firstLine="420" w:firstLineChars="200"/>
              <w:jc w:val="center"/>
              <w:rPr>
                <w:rFonts w:ascii="方正书宋_GBK" w:eastAsia="方正书宋_GBK"/>
              </w:rPr>
            </w:pPr>
          </w:p>
        </w:tc>
        <w:tc>
          <w:tcPr>
            <w:tcW w:w="879" w:type="dxa"/>
            <w:shd w:val="clear" w:color="auto" w:fill="auto"/>
            <w:vAlign w:val="center"/>
          </w:tcPr>
          <w:p>
            <w:pPr>
              <w:ind w:firstLine="420" w:firstLineChars="200"/>
              <w:jc w:val="center"/>
              <w:rPr>
                <w:rFonts w:ascii="方正书宋_GBK" w:eastAsia="方正书宋_GBK"/>
              </w:rPr>
            </w:pPr>
          </w:p>
        </w:tc>
        <w:tc>
          <w:tcPr>
            <w:tcW w:w="879" w:type="dxa"/>
            <w:shd w:val="clear" w:color="auto" w:fill="auto"/>
            <w:vAlign w:val="center"/>
          </w:tcPr>
          <w:p>
            <w:pPr>
              <w:ind w:firstLine="420" w:firstLineChars="200"/>
              <w:jc w:val="center"/>
              <w:rPr>
                <w:rFonts w:ascii="方正书宋_GBK" w:eastAsia="方正书宋_GBK"/>
              </w:rPr>
            </w:pPr>
          </w:p>
        </w:tc>
        <w:tc>
          <w:tcPr>
            <w:tcW w:w="833" w:type="dxa"/>
            <w:shd w:val="clear" w:color="auto" w:fill="auto"/>
            <w:vAlign w:val="center"/>
          </w:tcPr>
          <w:p>
            <w:pPr>
              <w:ind w:firstLine="420" w:firstLineChars="200"/>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59" w:type="dxa"/>
            <w:shd w:val="clear" w:color="auto" w:fill="auto"/>
            <w:vAlign w:val="center"/>
          </w:tcPr>
          <w:p>
            <w:pPr>
              <w:ind w:firstLine="420" w:firstLineChars="200"/>
              <w:jc w:val="center"/>
              <w:rPr>
                <w:rFonts w:ascii="方正书宋_GBK" w:eastAsia="方正书宋_GBK"/>
              </w:rPr>
            </w:pPr>
            <w:r>
              <w:rPr>
                <w:rFonts w:hint="eastAsia" w:ascii="方正书宋_GBK" w:eastAsia="方正书宋_GBK"/>
              </w:rPr>
              <w:t>行政审批局专项业务经费</w:t>
            </w:r>
          </w:p>
        </w:tc>
        <w:tc>
          <w:tcPr>
            <w:tcW w:w="1013" w:type="dxa"/>
            <w:shd w:val="clear" w:color="auto" w:fill="auto"/>
            <w:vAlign w:val="center"/>
          </w:tcPr>
          <w:p>
            <w:pPr>
              <w:rPr>
                <w:rFonts w:ascii="方正书宋_GBK" w:eastAsia="方正书宋_GBK"/>
              </w:rPr>
            </w:pPr>
            <w:r>
              <w:rPr>
                <w:rFonts w:ascii="方正书宋_GBK" w:eastAsia="方正书宋_GBK"/>
              </w:rPr>
              <w:t>60.00</w:t>
            </w:r>
          </w:p>
        </w:tc>
        <w:tc>
          <w:tcPr>
            <w:tcW w:w="887" w:type="dxa"/>
            <w:shd w:val="clear" w:color="auto" w:fill="auto"/>
            <w:vAlign w:val="center"/>
          </w:tcPr>
          <w:p>
            <w:pPr>
              <w:rPr>
                <w:rFonts w:ascii="方正书宋_GBK" w:eastAsia="方正书宋_GBK"/>
              </w:rPr>
            </w:pPr>
            <w:r>
              <w:rPr>
                <w:rFonts w:hint="eastAsia" w:ascii="方正书宋_GBK" w:eastAsia="方正书宋_GBK"/>
              </w:rPr>
              <w:t>印刷品</w:t>
            </w:r>
          </w:p>
        </w:tc>
        <w:tc>
          <w:tcPr>
            <w:tcW w:w="899" w:type="dxa"/>
            <w:shd w:val="clear" w:color="auto" w:fill="auto"/>
            <w:vAlign w:val="center"/>
          </w:tcPr>
          <w:p>
            <w:pPr>
              <w:rPr>
                <w:rFonts w:ascii="方正书宋_GBK" w:eastAsia="方正书宋_GBK"/>
              </w:rPr>
            </w:pPr>
            <w:r>
              <w:rPr>
                <w:rFonts w:ascii="方正书宋_GBK" w:eastAsia="方正书宋_GBK"/>
              </w:rPr>
              <w:t>A0802</w:t>
            </w:r>
          </w:p>
        </w:tc>
        <w:tc>
          <w:tcPr>
            <w:tcW w:w="675" w:type="dxa"/>
            <w:shd w:val="clear" w:color="auto" w:fill="auto"/>
            <w:vAlign w:val="center"/>
          </w:tcPr>
          <w:p>
            <w:pPr>
              <w:ind w:firstLine="420" w:firstLineChars="200"/>
              <w:jc w:val="center"/>
              <w:rPr>
                <w:rFonts w:ascii="方正书宋_GBK" w:eastAsia="方正书宋_GBK"/>
              </w:rPr>
            </w:pPr>
          </w:p>
        </w:tc>
        <w:tc>
          <w:tcPr>
            <w:tcW w:w="676" w:type="dxa"/>
            <w:shd w:val="clear" w:color="auto" w:fill="auto"/>
            <w:vAlign w:val="center"/>
          </w:tcPr>
          <w:p>
            <w:pPr>
              <w:rPr>
                <w:rFonts w:ascii="方正书宋_GBK" w:eastAsia="方正书宋_GBK"/>
              </w:rPr>
            </w:pPr>
            <w:r>
              <w:rPr>
                <w:rFonts w:ascii="方正书宋_GBK" w:eastAsia="方正书宋_GBK"/>
              </w:rPr>
              <w:t>1.00</w:t>
            </w:r>
          </w:p>
        </w:tc>
        <w:tc>
          <w:tcPr>
            <w:tcW w:w="766" w:type="dxa"/>
            <w:shd w:val="clear" w:color="auto" w:fill="auto"/>
            <w:vAlign w:val="center"/>
          </w:tcPr>
          <w:p>
            <w:pPr>
              <w:rPr>
                <w:rFonts w:ascii="方正书宋_GBK" w:eastAsia="方正书宋_GBK"/>
              </w:rPr>
            </w:pPr>
            <w:r>
              <w:rPr>
                <w:rFonts w:ascii="方正书宋_GBK" w:eastAsia="方正书宋_GBK"/>
              </w:rPr>
              <w:t>9.60</w:t>
            </w:r>
          </w:p>
        </w:tc>
        <w:tc>
          <w:tcPr>
            <w:tcW w:w="1275" w:type="dxa"/>
            <w:shd w:val="clear" w:color="auto" w:fill="auto"/>
            <w:vAlign w:val="center"/>
          </w:tcPr>
          <w:p>
            <w:pPr>
              <w:ind w:firstLine="420" w:firstLineChars="200"/>
              <w:jc w:val="center"/>
              <w:rPr>
                <w:rFonts w:ascii="方正书宋_GBK" w:eastAsia="方正书宋_GBK"/>
              </w:rPr>
            </w:pPr>
            <w:r>
              <w:rPr>
                <w:rFonts w:ascii="方正书宋_GBK" w:eastAsia="方正书宋_GBK"/>
              </w:rPr>
              <w:t>9.60</w:t>
            </w:r>
          </w:p>
        </w:tc>
        <w:tc>
          <w:tcPr>
            <w:tcW w:w="1275" w:type="dxa"/>
            <w:shd w:val="clear" w:color="auto" w:fill="auto"/>
            <w:vAlign w:val="center"/>
          </w:tcPr>
          <w:p>
            <w:pPr>
              <w:ind w:firstLine="420" w:firstLineChars="200"/>
              <w:jc w:val="center"/>
              <w:rPr>
                <w:rFonts w:ascii="方正书宋_GBK" w:eastAsia="方正书宋_GBK"/>
              </w:rPr>
            </w:pPr>
            <w:r>
              <w:rPr>
                <w:rFonts w:ascii="方正书宋_GBK" w:eastAsia="方正书宋_GBK"/>
              </w:rPr>
              <w:t>9.60</w:t>
            </w:r>
          </w:p>
        </w:tc>
        <w:tc>
          <w:tcPr>
            <w:tcW w:w="1275" w:type="dxa"/>
            <w:shd w:val="clear" w:color="auto" w:fill="auto"/>
            <w:vAlign w:val="center"/>
          </w:tcPr>
          <w:p>
            <w:pPr>
              <w:ind w:firstLine="420" w:firstLineChars="200"/>
              <w:jc w:val="center"/>
              <w:rPr>
                <w:rFonts w:ascii="方正书宋_GBK" w:eastAsia="方正书宋_GBK"/>
              </w:rPr>
            </w:pPr>
            <w:r>
              <w:rPr>
                <w:rFonts w:ascii="方正书宋_GBK" w:eastAsia="方正书宋_GBK"/>
              </w:rPr>
              <w:t>9.60</w:t>
            </w:r>
          </w:p>
        </w:tc>
        <w:tc>
          <w:tcPr>
            <w:tcW w:w="877" w:type="dxa"/>
            <w:shd w:val="clear" w:color="auto" w:fill="auto"/>
            <w:vAlign w:val="center"/>
          </w:tcPr>
          <w:p>
            <w:pPr>
              <w:ind w:firstLine="420" w:firstLineChars="200"/>
              <w:jc w:val="center"/>
              <w:rPr>
                <w:rFonts w:ascii="方正书宋_GBK" w:eastAsia="方正书宋_GBK"/>
              </w:rPr>
            </w:pPr>
          </w:p>
        </w:tc>
        <w:tc>
          <w:tcPr>
            <w:tcW w:w="879" w:type="dxa"/>
            <w:shd w:val="clear" w:color="auto" w:fill="auto"/>
            <w:vAlign w:val="center"/>
          </w:tcPr>
          <w:p>
            <w:pPr>
              <w:ind w:firstLine="420" w:firstLineChars="200"/>
              <w:jc w:val="center"/>
              <w:rPr>
                <w:rFonts w:ascii="方正书宋_GBK" w:eastAsia="方正书宋_GBK"/>
              </w:rPr>
            </w:pPr>
          </w:p>
        </w:tc>
        <w:tc>
          <w:tcPr>
            <w:tcW w:w="879" w:type="dxa"/>
            <w:shd w:val="clear" w:color="auto" w:fill="auto"/>
            <w:vAlign w:val="center"/>
          </w:tcPr>
          <w:p>
            <w:pPr>
              <w:ind w:firstLine="420" w:firstLineChars="200"/>
              <w:jc w:val="center"/>
              <w:rPr>
                <w:rFonts w:ascii="方正书宋_GBK" w:eastAsia="方正书宋_GBK"/>
              </w:rPr>
            </w:pPr>
          </w:p>
        </w:tc>
        <w:tc>
          <w:tcPr>
            <w:tcW w:w="833" w:type="dxa"/>
            <w:shd w:val="clear" w:color="auto" w:fill="auto"/>
            <w:vAlign w:val="center"/>
          </w:tcPr>
          <w:p>
            <w:pPr>
              <w:ind w:firstLine="420" w:firstLineChars="200"/>
              <w:jc w:val="center"/>
              <w:rPr>
                <w:rFonts w:ascii="方正书宋_GBK" w:eastAsia="方正书宋_GBK"/>
              </w:rPr>
            </w:pPr>
          </w:p>
        </w:tc>
      </w:tr>
    </w:tbl>
    <w:p>
      <w:pPr>
        <w:ind w:firstLine="420" w:firstLineChars="200"/>
        <w:jc w:val="left"/>
        <w:outlineLvl w:val="0"/>
        <w:sectPr>
          <w:pgSz w:w="16839" w:h="11907" w:orient="landscape"/>
          <w:pgMar w:top="1361" w:right="1020" w:bottom="1361" w:left="1020" w:header="851" w:footer="992" w:gutter="0"/>
          <w:cols w:space="425" w:num="1"/>
          <w:docGrid w:type="lines" w:linePitch="312" w:charSpace="0"/>
        </w:sectPr>
      </w:pPr>
    </w:p>
    <w:p>
      <w:pPr>
        <w:jc w:val="center"/>
        <w:outlineLvl w:val="0"/>
        <w:rPr>
          <w:rFonts w:asciiTheme="majorEastAsia" w:hAnsiTheme="majorEastAsia" w:eastAsiaTheme="majorEastAsia"/>
          <w:b/>
          <w:sz w:val="36"/>
          <w:szCs w:val="36"/>
        </w:rPr>
      </w:pPr>
      <w:r>
        <w:rPr>
          <w:rFonts w:hint="eastAsia" w:asciiTheme="majorEastAsia" w:hAnsiTheme="majorEastAsia" w:eastAsiaTheme="majorEastAsia"/>
          <w:b/>
          <w:sz w:val="36"/>
          <w:szCs w:val="36"/>
        </w:rPr>
        <w:t>第四部分：国有资产信息情况说明</w:t>
      </w:r>
    </w:p>
    <w:p>
      <w:pPr>
        <w:ind w:firstLine="640" w:firstLineChars="200"/>
        <w:jc w:val="left"/>
        <w:outlineLvl w:val="0"/>
        <w:rPr>
          <w:rFonts w:ascii="仿宋" w:hAnsi="仿宋" w:eastAsia="仿宋"/>
          <w:sz w:val="32"/>
          <w:szCs w:val="32"/>
        </w:rPr>
      </w:pPr>
    </w:p>
    <w:p>
      <w:pPr>
        <w:ind w:firstLine="640" w:firstLineChars="200"/>
        <w:jc w:val="left"/>
        <w:outlineLvl w:val="0"/>
        <w:rPr>
          <w:rFonts w:ascii="仿宋" w:hAnsi="仿宋" w:eastAsia="仿宋"/>
          <w:sz w:val="32"/>
          <w:szCs w:val="32"/>
        </w:rPr>
      </w:pPr>
      <w:r>
        <w:rPr>
          <w:rFonts w:hint="eastAsia" w:ascii="仿宋" w:hAnsi="仿宋" w:eastAsia="仿宋"/>
          <w:sz w:val="32"/>
          <w:szCs w:val="32"/>
        </w:rPr>
        <w:t>曲阳县行政审批局2017年未固定资产总值199.</w:t>
      </w:r>
      <w:r>
        <w:rPr>
          <w:rFonts w:hint="eastAsia" w:ascii="仿宋" w:hAnsi="仿宋" w:eastAsia="仿宋"/>
          <w:sz w:val="32"/>
          <w:szCs w:val="32"/>
          <w:lang w:val="en-US" w:eastAsia="zh-CN"/>
        </w:rPr>
        <w:t>3</w:t>
      </w:r>
      <w:r>
        <w:rPr>
          <w:rFonts w:hint="eastAsia" w:ascii="仿宋" w:hAnsi="仿宋" w:eastAsia="仿宋"/>
          <w:sz w:val="32"/>
          <w:szCs w:val="32"/>
        </w:rPr>
        <w:t>125万元，2018年拟购置固定资产0万元。</w:t>
      </w:r>
    </w:p>
    <w:p>
      <w:pPr>
        <w:ind w:firstLine="640" w:firstLineChars="200"/>
        <w:jc w:val="left"/>
        <w:outlineLvl w:val="0"/>
        <w:rPr>
          <w:rFonts w:ascii="仿宋" w:hAnsi="仿宋" w:eastAsia="仿宋"/>
          <w:sz w:val="32"/>
          <w:szCs w:val="32"/>
        </w:rPr>
      </w:pPr>
      <w:r>
        <w:rPr>
          <w:rFonts w:hint="eastAsia" w:ascii="仿宋" w:hAnsi="仿宋" w:eastAsia="仿宋"/>
          <w:sz w:val="32"/>
          <w:szCs w:val="32"/>
        </w:rPr>
        <w:t>曲阳县行政审批局固定资产占用情况表</w:t>
      </w:r>
    </w:p>
    <w:p>
      <w:pPr>
        <w:ind w:firstLine="640" w:firstLineChars="200"/>
        <w:jc w:val="center"/>
        <w:outlineLvl w:val="0"/>
        <w:rPr>
          <w:rFonts w:ascii="仿宋" w:hAnsi="仿宋" w:eastAsia="仿宋"/>
          <w:sz w:val="32"/>
          <w:szCs w:val="32"/>
        </w:rPr>
      </w:pPr>
      <w:r>
        <w:rPr>
          <w:rFonts w:hint="eastAsia" w:ascii="仿宋" w:hAnsi="仿宋" w:eastAsia="仿宋"/>
          <w:sz w:val="32"/>
          <w:szCs w:val="32"/>
        </w:rPr>
        <w:t>截止时间：2017年12月31日</w:t>
      </w:r>
    </w:p>
    <w:tbl>
      <w:tblPr>
        <w:tblStyle w:val="8"/>
        <w:tblW w:w="985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285"/>
        <w:gridCol w:w="3285"/>
        <w:gridCol w:w="32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285" w:type="dxa"/>
            <w:vAlign w:val="center"/>
          </w:tcPr>
          <w:p>
            <w:pPr>
              <w:jc w:val="center"/>
              <w:outlineLvl w:val="0"/>
              <w:rPr>
                <w:rFonts w:ascii="仿宋" w:hAnsi="仿宋" w:eastAsia="仿宋"/>
                <w:sz w:val="32"/>
                <w:szCs w:val="32"/>
              </w:rPr>
            </w:pPr>
            <w:r>
              <w:rPr>
                <w:rFonts w:hint="eastAsia" w:ascii="仿宋" w:hAnsi="仿宋" w:eastAsia="仿宋"/>
                <w:sz w:val="32"/>
                <w:szCs w:val="32"/>
              </w:rPr>
              <w:t>项 目</w:t>
            </w:r>
          </w:p>
        </w:tc>
        <w:tc>
          <w:tcPr>
            <w:tcW w:w="3285" w:type="dxa"/>
            <w:vAlign w:val="center"/>
          </w:tcPr>
          <w:p>
            <w:pPr>
              <w:jc w:val="center"/>
              <w:outlineLvl w:val="0"/>
              <w:rPr>
                <w:rFonts w:ascii="仿宋" w:hAnsi="仿宋" w:eastAsia="仿宋"/>
                <w:sz w:val="32"/>
                <w:szCs w:val="32"/>
              </w:rPr>
            </w:pPr>
            <w:r>
              <w:rPr>
                <w:rFonts w:hint="eastAsia" w:ascii="仿宋" w:hAnsi="仿宋" w:eastAsia="仿宋"/>
                <w:sz w:val="32"/>
                <w:szCs w:val="32"/>
              </w:rPr>
              <w:t>数 量</w:t>
            </w:r>
          </w:p>
        </w:tc>
        <w:tc>
          <w:tcPr>
            <w:tcW w:w="3285" w:type="dxa"/>
            <w:vAlign w:val="center"/>
          </w:tcPr>
          <w:p>
            <w:pPr>
              <w:jc w:val="center"/>
              <w:outlineLvl w:val="0"/>
              <w:rPr>
                <w:rFonts w:ascii="仿宋" w:hAnsi="仿宋" w:eastAsia="仿宋"/>
                <w:sz w:val="32"/>
                <w:szCs w:val="32"/>
              </w:rPr>
            </w:pPr>
            <w:r>
              <w:rPr>
                <w:rFonts w:hint="eastAsia" w:ascii="仿宋" w:hAnsi="仿宋" w:eastAsia="仿宋"/>
                <w:sz w:val="32"/>
                <w:szCs w:val="32"/>
              </w:rPr>
              <w:t>价值（单位：万元）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285" w:type="dxa"/>
            <w:vAlign w:val="center"/>
          </w:tcPr>
          <w:p>
            <w:pPr>
              <w:jc w:val="center"/>
              <w:outlineLvl w:val="0"/>
              <w:rPr>
                <w:rFonts w:ascii="仿宋" w:hAnsi="仿宋" w:eastAsia="仿宋"/>
                <w:sz w:val="32"/>
                <w:szCs w:val="32"/>
              </w:rPr>
            </w:pPr>
            <w:r>
              <w:rPr>
                <w:rFonts w:hint="eastAsia" w:ascii="仿宋" w:hAnsi="仿宋" w:eastAsia="仿宋"/>
                <w:sz w:val="32"/>
                <w:szCs w:val="32"/>
              </w:rPr>
              <w:t>固定资产总额</w:t>
            </w:r>
          </w:p>
        </w:tc>
        <w:tc>
          <w:tcPr>
            <w:tcW w:w="3285" w:type="dxa"/>
            <w:vAlign w:val="center"/>
          </w:tcPr>
          <w:p>
            <w:pPr>
              <w:jc w:val="center"/>
              <w:outlineLvl w:val="0"/>
              <w:rPr>
                <w:rFonts w:ascii="仿宋" w:hAnsi="仿宋" w:eastAsia="仿宋"/>
                <w:sz w:val="32"/>
                <w:szCs w:val="32"/>
              </w:rPr>
            </w:pPr>
            <w:r>
              <w:rPr>
                <w:rFonts w:hint="eastAsia" w:ascii="仿宋" w:hAnsi="仿宋" w:eastAsia="仿宋"/>
                <w:sz w:val="32"/>
                <w:szCs w:val="32"/>
              </w:rPr>
              <w:t>--</w:t>
            </w:r>
          </w:p>
        </w:tc>
        <w:tc>
          <w:tcPr>
            <w:tcW w:w="3285" w:type="dxa"/>
            <w:vAlign w:val="center"/>
          </w:tcPr>
          <w:p>
            <w:pPr>
              <w:jc w:val="center"/>
              <w:outlineLvl w:val="0"/>
              <w:rPr>
                <w:rFonts w:ascii="仿宋" w:hAnsi="仿宋" w:eastAsia="仿宋"/>
                <w:sz w:val="32"/>
                <w:szCs w:val="32"/>
              </w:rPr>
            </w:pPr>
            <w:r>
              <w:rPr>
                <w:rFonts w:hint="eastAsia" w:ascii="仿宋" w:hAnsi="仿宋" w:eastAsia="仿宋"/>
                <w:sz w:val="32"/>
                <w:szCs w:val="32"/>
              </w:rPr>
              <w:t>199.3125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285" w:type="dxa"/>
            <w:vAlign w:val="center"/>
          </w:tcPr>
          <w:p>
            <w:pPr>
              <w:jc w:val="center"/>
              <w:outlineLvl w:val="0"/>
              <w:rPr>
                <w:rFonts w:hint="eastAsia" w:ascii="仿宋" w:hAnsi="仿宋" w:eastAsia="仿宋" w:cs="仿宋"/>
                <w:sz w:val="32"/>
                <w:szCs w:val="32"/>
              </w:rPr>
            </w:pPr>
            <w:r>
              <w:rPr>
                <w:rFonts w:hint="eastAsia" w:ascii="仿宋" w:hAnsi="仿宋" w:eastAsia="仿宋" w:cs="仿宋"/>
                <w:color w:val="000000"/>
                <w:sz w:val="32"/>
                <w:szCs w:val="32"/>
              </w:rPr>
              <w:t>1、房屋（平方米）</w:t>
            </w:r>
          </w:p>
        </w:tc>
        <w:tc>
          <w:tcPr>
            <w:tcW w:w="3285" w:type="dxa"/>
            <w:vAlign w:val="center"/>
          </w:tcPr>
          <w:p>
            <w:pPr>
              <w:jc w:val="center"/>
              <w:outlineLvl w:val="0"/>
              <w:rPr>
                <w:rFonts w:hint="eastAsia" w:ascii="仿宋" w:hAnsi="仿宋" w:eastAsia="仿宋"/>
                <w:sz w:val="32"/>
                <w:szCs w:val="32"/>
                <w:lang w:val="en-US" w:eastAsia="zh-CN"/>
              </w:rPr>
            </w:pPr>
            <w:r>
              <w:rPr>
                <w:rFonts w:hint="eastAsia" w:ascii="仿宋" w:hAnsi="仿宋" w:eastAsia="仿宋"/>
                <w:sz w:val="32"/>
                <w:szCs w:val="32"/>
              </w:rPr>
              <w:t>--</w:t>
            </w:r>
          </w:p>
        </w:tc>
        <w:tc>
          <w:tcPr>
            <w:tcW w:w="3285" w:type="dxa"/>
            <w:vAlign w:val="center"/>
          </w:tcPr>
          <w:p>
            <w:pPr>
              <w:jc w:val="center"/>
              <w:outlineLvl w:val="0"/>
              <w:rPr>
                <w:rFonts w:hint="eastAsia" w:ascii="仿宋" w:hAnsi="仿宋" w:eastAsia="仿宋"/>
                <w:sz w:val="32"/>
                <w:szCs w:val="32"/>
                <w:lang w:val="en-US" w:eastAsia="zh-CN"/>
              </w:rPr>
            </w:pPr>
            <w:r>
              <w:rPr>
                <w:rFonts w:hint="eastAsia" w:ascii="仿宋" w:hAnsi="仿宋" w:eastAsia="仿宋"/>
                <w:sz w:val="32"/>
                <w:szCs w:val="32"/>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285" w:type="dxa"/>
            <w:vAlign w:val="center"/>
          </w:tcPr>
          <w:p>
            <w:pPr>
              <w:jc w:val="center"/>
              <w:outlineLvl w:val="0"/>
              <w:rPr>
                <w:rFonts w:hint="eastAsia" w:ascii="仿宋" w:hAnsi="仿宋" w:eastAsia="仿宋" w:cs="仿宋"/>
                <w:sz w:val="32"/>
                <w:szCs w:val="32"/>
              </w:rPr>
            </w:pPr>
            <w:r>
              <w:rPr>
                <w:rFonts w:hint="eastAsia" w:ascii="仿宋" w:hAnsi="仿宋" w:eastAsia="仿宋" w:cs="仿宋"/>
                <w:color w:val="000000"/>
                <w:sz w:val="32"/>
                <w:szCs w:val="32"/>
              </w:rPr>
              <w:t>2、车辆（台、辆）</w:t>
            </w:r>
          </w:p>
        </w:tc>
        <w:tc>
          <w:tcPr>
            <w:tcW w:w="3285" w:type="dxa"/>
            <w:vAlign w:val="center"/>
          </w:tcPr>
          <w:p>
            <w:pPr>
              <w:jc w:val="center"/>
              <w:outlineLvl w:val="0"/>
              <w:rPr>
                <w:rFonts w:hint="eastAsia" w:ascii="仿宋" w:hAnsi="仿宋" w:eastAsia="仿宋"/>
                <w:sz w:val="32"/>
                <w:szCs w:val="32"/>
                <w:lang w:val="en-US" w:eastAsia="zh-CN"/>
              </w:rPr>
            </w:pPr>
            <w:r>
              <w:rPr>
                <w:rFonts w:hint="eastAsia" w:ascii="仿宋" w:hAnsi="仿宋" w:eastAsia="仿宋"/>
                <w:sz w:val="32"/>
                <w:szCs w:val="32"/>
              </w:rPr>
              <w:t>--</w:t>
            </w:r>
          </w:p>
        </w:tc>
        <w:tc>
          <w:tcPr>
            <w:tcW w:w="3285" w:type="dxa"/>
            <w:vAlign w:val="center"/>
          </w:tcPr>
          <w:p>
            <w:pPr>
              <w:jc w:val="center"/>
              <w:outlineLvl w:val="0"/>
              <w:rPr>
                <w:rFonts w:hint="eastAsia" w:ascii="仿宋" w:hAnsi="仿宋" w:eastAsia="仿宋"/>
                <w:sz w:val="32"/>
                <w:szCs w:val="32"/>
                <w:lang w:val="en-US" w:eastAsia="zh-CN"/>
              </w:rPr>
            </w:pPr>
            <w:r>
              <w:rPr>
                <w:rFonts w:hint="eastAsia" w:ascii="仿宋" w:hAnsi="仿宋" w:eastAsia="仿宋"/>
                <w:sz w:val="32"/>
                <w:szCs w:val="32"/>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285" w:type="dxa"/>
            <w:vAlign w:val="center"/>
          </w:tcPr>
          <w:p>
            <w:pPr>
              <w:jc w:val="both"/>
              <w:outlineLvl w:val="0"/>
              <w:rPr>
                <w:rFonts w:ascii="仿宋" w:hAnsi="仿宋" w:eastAsia="仿宋"/>
                <w:sz w:val="32"/>
                <w:szCs w:val="32"/>
              </w:rPr>
            </w:pPr>
            <w:r>
              <w:rPr>
                <w:rFonts w:hint="eastAsia" w:ascii="仿宋" w:hAnsi="仿宋" w:eastAsia="仿宋"/>
                <w:sz w:val="32"/>
                <w:szCs w:val="32"/>
                <w:lang w:val="en-US" w:eastAsia="zh-CN"/>
              </w:rPr>
              <w:t xml:space="preserve"> 3</w:t>
            </w:r>
            <w:r>
              <w:rPr>
                <w:rFonts w:hint="eastAsia" w:ascii="仿宋" w:hAnsi="仿宋" w:eastAsia="仿宋"/>
                <w:sz w:val="32"/>
                <w:szCs w:val="32"/>
              </w:rPr>
              <w:t>、其他固定资产</w:t>
            </w:r>
          </w:p>
        </w:tc>
        <w:tc>
          <w:tcPr>
            <w:tcW w:w="3285" w:type="dxa"/>
            <w:vAlign w:val="center"/>
          </w:tcPr>
          <w:p>
            <w:pPr>
              <w:jc w:val="center"/>
              <w:outlineLvl w:val="0"/>
              <w:rPr>
                <w:rFonts w:ascii="仿宋" w:hAnsi="仿宋" w:eastAsia="仿宋"/>
                <w:sz w:val="32"/>
                <w:szCs w:val="32"/>
              </w:rPr>
            </w:pPr>
            <w:r>
              <w:rPr>
                <w:rFonts w:hint="eastAsia" w:ascii="仿宋" w:hAnsi="仿宋" w:eastAsia="仿宋"/>
                <w:sz w:val="32"/>
                <w:szCs w:val="32"/>
              </w:rPr>
              <w:t>--</w:t>
            </w:r>
          </w:p>
        </w:tc>
        <w:tc>
          <w:tcPr>
            <w:tcW w:w="3285" w:type="dxa"/>
            <w:vAlign w:val="center"/>
          </w:tcPr>
          <w:p>
            <w:pPr>
              <w:jc w:val="center"/>
              <w:outlineLvl w:val="0"/>
              <w:rPr>
                <w:rFonts w:ascii="仿宋" w:hAnsi="仿宋" w:eastAsia="仿宋"/>
                <w:sz w:val="32"/>
                <w:szCs w:val="32"/>
              </w:rPr>
            </w:pPr>
            <w:r>
              <w:rPr>
                <w:rFonts w:hint="eastAsia" w:ascii="仿宋" w:hAnsi="仿宋" w:eastAsia="仿宋"/>
                <w:sz w:val="32"/>
                <w:szCs w:val="32"/>
              </w:rPr>
              <w:t>199.3125</w:t>
            </w:r>
          </w:p>
        </w:tc>
      </w:tr>
    </w:tbl>
    <w:p>
      <w:pPr>
        <w:spacing w:line="520" w:lineRule="exact"/>
        <w:jc w:val="center"/>
        <w:rPr>
          <w:rFonts w:ascii="黑体" w:hAnsi="黑体" w:eastAsia="黑体"/>
          <w:sz w:val="32"/>
          <w:szCs w:val="32"/>
        </w:rPr>
      </w:pPr>
    </w:p>
    <w:p>
      <w:pPr>
        <w:spacing w:line="520" w:lineRule="exact"/>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第五部分：有关事项说明</w:t>
      </w:r>
    </w:p>
    <w:p>
      <w:pPr>
        <w:spacing w:line="520" w:lineRule="exact"/>
        <w:ind w:firstLine="640" w:firstLineChars="200"/>
        <w:jc w:val="left"/>
        <w:rPr>
          <w:rFonts w:ascii="仿宋" w:hAnsi="仿宋" w:eastAsia="仿宋"/>
          <w:sz w:val="32"/>
          <w:szCs w:val="32"/>
        </w:rPr>
      </w:pPr>
    </w:p>
    <w:p>
      <w:pPr>
        <w:ind w:firstLine="640" w:firstLineChars="200"/>
        <w:jc w:val="left"/>
        <w:rPr>
          <w:rFonts w:ascii="仿宋" w:hAnsi="仿宋" w:eastAsia="仿宋"/>
          <w:sz w:val="32"/>
          <w:szCs w:val="32"/>
        </w:rPr>
      </w:pPr>
      <w:r>
        <w:rPr>
          <w:rFonts w:hint="eastAsia" w:ascii="仿宋" w:hAnsi="仿宋" w:eastAsia="仿宋"/>
          <w:sz w:val="32"/>
          <w:szCs w:val="32"/>
        </w:rPr>
        <w:t>多年来，在县委、县政府的正确领导下，在县财政部门大力支持和指导下，曲阳县行政审批局根据总体规划，圆满完成了各项规划编制任务。2017年11月在曲阳县行政审批局财务人员的共同努力下，较好地完成了我单位2018年度部门预算的编制工作，现就2018年部门预算情况作简要说明。</w:t>
      </w:r>
    </w:p>
    <w:p>
      <w:pPr>
        <w:numPr>
          <w:ilvl w:val="0"/>
          <w:numId w:val="2"/>
        </w:numPr>
        <w:rPr>
          <w:rFonts w:asciiTheme="majorEastAsia" w:hAnsiTheme="majorEastAsia" w:eastAsiaTheme="majorEastAsia"/>
          <w:b/>
          <w:sz w:val="32"/>
          <w:szCs w:val="32"/>
        </w:rPr>
      </w:pPr>
      <w:r>
        <w:rPr>
          <w:rFonts w:hint="eastAsia" w:asciiTheme="majorEastAsia" w:hAnsiTheme="majorEastAsia" w:eastAsiaTheme="majorEastAsia"/>
          <w:b/>
          <w:sz w:val="32"/>
          <w:szCs w:val="32"/>
        </w:rPr>
        <w:t>部门预算安排的总体情况</w:t>
      </w:r>
    </w:p>
    <w:p>
      <w:pPr>
        <w:ind w:firstLine="643" w:firstLineChars="200"/>
        <w:rPr>
          <w:rFonts w:ascii="仿宋" w:hAnsi="仿宋" w:eastAsia="仿宋"/>
          <w:b/>
          <w:sz w:val="32"/>
          <w:szCs w:val="32"/>
        </w:rPr>
      </w:pPr>
      <w:r>
        <w:rPr>
          <w:rFonts w:hint="eastAsia" w:ascii="仿宋" w:hAnsi="仿宋" w:eastAsia="仿宋"/>
          <w:b/>
          <w:sz w:val="32"/>
          <w:szCs w:val="32"/>
        </w:rPr>
        <w:t>（一）2018年部门预算收入情况</w:t>
      </w:r>
    </w:p>
    <w:p>
      <w:pPr>
        <w:ind w:firstLine="640" w:firstLineChars="200"/>
        <w:rPr>
          <w:rFonts w:ascii="仿宋" w:hAnsi="仿宋" w:eastAsia="仿宋"/>
          <w:sz w:val="32"/>
          <w:szCs w:val="32"/>
        </w:rPr>
      </w:pPr>
      <w:r>
        <w:rPr>
          <w:rFonts w:hint="eastAsia" w:ascii="仿宋" w:hAnsi="仿宋" w:eastAsia="仿宋"/>
          <w:sz w:val="32"/>
          <w:szCs w:val="32"/>
        </w:rPr>
        <w:t>2018年曲阳县行政服务中心管理委员会年初部门收入预算总额为304.10万元,其中：一般公共预算收入304.10万元。</w:t>
      </w:r>
    </w:p>
    <w:p>
      <w:pPr>
        <w:ind w:firstLine="643" w:firstLineChars="200"/>
        <w:rPr>
          <w:rFonts w:ascii="仿宋" w:hAnsi="仿宋" w:eastAsia="仿宋"/>
          <w:b/>
          <w:sz w:val="32"/>
          <w:szCs w:val="32"/>
        </w:rPr>
      </w:pPr>
      <w:r>
        <w:rPr>
          <w:rFonts w:hint="eastAsia" w:ascii="仿宋" w:hAnsi="仿宋" w:eastAsia="仿宋"/>
          <w:b/>
          <w:sz w:val="32"/>
          <w:szCs w:val="32"/>
        </w:rPr>
        <w:t>（二）2017年部门预算支出情况</w:t>
      </w:r>
    </w:p>
    <w:p>
      <w:pPr>
        <w:ind w:firstLine="640" w:firstLineChars="200"/>
        <w:rPr>
          <w:rFonts w:ascii="仿宋" w:hAnsi="仿宋" w:eastAsia="仿宋"/>
          <w:sz w:val="32"/>
          <w:szCs w:val="32"/>
        </w:rPr>
      </w:pPr>
      <w:r>
        <w:rPr>
          <w:rFonts w:hint="eastAsia" w:ascii="仿宋" w:hAnsi="仿宋" w:eastAsia="仿宋"/>
          <w:sz w:val="32"/>
          <w:szCs w:val="32"/>
        </w:rPr>
        <w:t>2017年部门支出安排预算总额304.10万元。</w:t>
      </w:r>
    </w:p>
    <w:p>
      <w:pPr>
        <w:ind w:firstLine="640" w:firstLineChars="200"/>
        <w:rPr>
          <w:rFonts w:ascii="仿宋" w:hAnsi="仿宋" w:eastAsia="仿宋"/>
          <w:sz w:val="32"/>
          <w:szCs w:val="32"/>
        </w:rPr>
      </w:pPr>
      <w:r>
        <w:rPr>
          <w:rFonts w:hint="eastAsia" w:ascii="仿宋" w:hAnsi="仿宋" w:eastAsia="仿宋"/>
          <w:sz w:val="32"/>
          <w:szCs w:val="32"/>
        </w:rPr>
        <w:t>基本支出124.46万元</w:t>
      </w:r>
    </w:p>
    <w:p>
      <w:pPr>
        <w:ind w:firstLine="640" w:firstLineChars="200"/>
        <w:rPr>
          <w:rFonts w:ascii="仿宋" w:hAnsi="仿宋" w:eastAsia="仿宋"/>
          <w:sz w:val="32"/>
          <w:szCs w:val="32"/>
        </w:rPr>
      </w:pPr>
      <w:r>
        <w:rPr>
          <w:rFonts w:hint="eastAsia" w:ascii="仿宋" w:hAnsi="仿宋" w:eastAsia="仿宋"/>
          <w:sz w:val="32"/>
          <w:szCs w:val="32"/>
        </w:rPr>
        <w:t xml:space="preserve">   其中：人员经费 0万元</w:t>
      </w:r>
    </w:p>
    <w:p>
      <w:pPr>
        <w:ind w:firstLine="640" w:firstLineChars="200"/>
        <w:rPr>
          <w:rFonts w:ascii="仿宋" w:hAnsi="仿宋" w:eastAsia="仿宋"/>
          <w:sz w:val="32"/>
          <w:szCs w:val="32"/>
        </w:rPr>
      </w:pPr>
      <w:r>
        <w:rPr>
          <w:rFonts w:hint="eastAsia" w:ascii="仿宋" w:hAnsi="仿宋" w:eastAsia="仿宋"/>
          <w:sz w:val="32"/>
          <w:szCs w:val="32"/>
        </w:rPr>
        <w:t xml:space="preserve">         日常公用经费 124.46万元</w:t>
      </w:r>
    </w:p>
    <w:p>
      <w:pPr>
        <w:ind w:firstLine="640" w:firstLineChars="200"/>
        <w:rPr>
          <w:rFonts w:ascii="仿宋" w:hAnsi="仿宋" w:eastAsia="仿宋"/>
          <w:sz w:val="32"/>
          <w:szCs w:val="32"/>
        </w:rPr>
      </w:pPr>
      <w:r>
        <w:rPr>
          <w:rFonts w:hint="eastAsia" w:ascii="仿宋" w:hAnsi="仿宋" w:eastAsia="仿宋"/>
          <w:sz w:val="32"/>
          <w:szCs w:val="32"/>
        </w:rPr>
        <w:t>项目支出 179.64万元</w:t>
      </w:r>
    </w:p>
    <w:p>
      <w:pPr>
        <w:ind w:firstLine="640" w:firstLineChars="200"/>
        <w:rPr>
          <w:rFonts w:ascii="仿宋" w:hAnsi="仿宋" w:eastAsia="仿宋"/>
          <w:sz w:val="32"/>
          <w:szCs w:val="32"/>
        </w:rPr>
      </w:pPr>
      <w:r>
        <w:rPr>
          <w:rFonts w:hint="eastAsia" w:ascii="仿宋" w:hAnsi="仿宋" w:eastAsia="仿宋"/>
          <w:sz w:val="32"/>
          <w:szCs w:val="32"/>
        </w:rPr>
        <w:t xml:space="preserve">   其中：本级支出 179.64万元</w:t>
      </w:r>
    </w:p>
    <w:p>
      <w:pPr>
        <w:tabs>
          <w:tab w:val="left" w:pos="916"/>
        </w:tabs>
        <w:ind w:firstLine="643" w:firstLineChars="200"/>
        <w:jc w:val="left"/>
        <w:rPr>
          <w:rFonts w:ascii="仿宋" w:hAnsi="仿宋" w:eastAsia="仿宋"/>
          <w:b/>
          <w:sz w:val="32"/>
          <w:szCs w:val="32"/>
        </w:rPr>
      </w:pPr>
      <w:r>
        <w:rPr>
          <w:rFonts w:hint="eastAsia" w:ascii="仿宋" w:hAnsi="仿宋" w:eastAsia="仿宋"/>
          <w:b/>
          <w:sz w:val="32"/>
          <w:szCs w:val="32"/>
        </w:rPr>
        <w:t>（三）与上年增减情况</w:t>
      </w:r>
    </w:p>
    <w:p>
      <w:pPr>
        <w:tabs>
          <w:tab w:val="left" w:pos="916"/>
        </w:tabs>
        <w:jc w:val="left"/>
        <w:rPr>
          <w:rFonts w:ascii="仿宋" w:hAnsi="仿宋" w:eastAsia="仿宋"/>
          <w:sz w:val="32"/>
          <w:szCs w:val="32"/>
        </w:rPr>
      </w:pPr>
      <w:r>
        <w:rPr>
          <w:rFonts w:hint="eastAsia" w:ascii="仿宋" w:hAnsi="仿宋" w:eastAsia="仿宋"/>
          <w:sz w:val="32"/>
          <w:szCs w:val="32"/>
        </w:rPr>
        <w:t>　　本年度预算收支安排304.10万元，较上年增加105.15万元。其中:基本支出增加119.54万元，主要原因是增加电费、取暖费、差旅费等项目的支出；项目支出减少224.69万元，主要原因为曲阳县三馆三中心电缆费、取暖费、差旅费等支出调到基本支出中。</w:t>
      </w:r>
    </w:p>
    <w:p>
      <w:pPr>
        <w:ind w:firstLine="630" w:firstLineChars="196"/>
        <w:rPr>
          <w:rFonts w:asciiTheme="majorEastAsia" w:hAnsiTheme="majorEastAsia" w:eastAsiaTheme="majorEastAsia"/>
          <w:b/>
          <w:sz w:val="32"/>
          <w:szCs w:val="32"/>
        </w:rPr>
      </w:pPr>
      <w:r>
        <w:rPr>
          <w:rFonts w:hint="eastAsia" w:asciiTheme="majorEastAsia" w:hAnsiTheme="majorEastAsia" w:eastAsiaTheme="majorEastAsia"/>
          <w:b/>
          <w:sz w:val="32"/>
          <w:szCs w:val="32"/>
        </w:rPr>
        <w:t>二、机关运行经费安排情况</w:t>
      </w:r>
    </w:p>
    <w:p>
      <w:pPr>
        <w:ind w:firstLine="640" w:firstLineChars="200"/>
        <w:jc w:val="left"/>
        <w:outlineLvl w:val="0"/>
        <w:rPr>
          <w:rFonts w:ascii="仿宋" w:hAnsi="仿宋" w:eastAsia="仿宋"/>
          <w:sz w:val="32"/>
          <w:szCs w:val="32"/>
        </w:rPr>
      </w:pPr>
      <w:r>
        <w:rPr>
          <w:rFonts w:hint="eastAsia" w:ascii="仿宋" w:hAnsi="仿宋" w:eastAsia="仿宋"/>
          <w:sz w:val="32"/>
          <w:szCs w:val="32"/>
        </w:rPr>
        <w:t>曲阳县行政审批局机关运行经费安排124.46万元，其中办公费2.18万元，邮电费0.4万元，公务用车运行维护费1.2万元，取暖费45.56万元，差旅费1.12万元，电费74万元。</w:t>
      </w:r>
    </w:p>
    <w:p>
      <w:pPr>
        <w:ind w:firstLine="630" w:firstLineChars="196"/>
        <w:rPr>
          <w:rFonts w:asciiTheme="majorEastAsia" w:hAnsiTheme="majorEastAsia" w:eastAsiaTheme="majorEastAsia"/>
          <w:b/>
          <w:sz w:val="32"/>
          <w:szCs w:val="32"/>
        </w:rPr>
      </w:pPr>
      <w:r>
        <w:rPr>
          <w:rFonts w:hint="eastAsia" w:asciiTheme="majorEastAsia" w:hAnsiTheme="majorEastAsia" w:eastAsiaTheme="majorEastAsia"/>
          <w:b/>
          <w:sz w:val="32"/>
          <w:szCs w:val="32"/>
        </w:rPr>
        <w:t>三、财政拨款“三公”经费预算情况及增加变化原因</w:t>
      </w:r>
    </w:p>
    <w:tbl>
      <w:tblPr>
        <w:tblStyle w:val="7"/>
        <w:tblW w:w="9855" w:type="dxa"/>
        <w:tblInd w:w="0" w:type="dxa"/>
        <w:tblLayout w:type="fixed"/>
        <w:tblCellMar>
          <w:top w:w="0" w:type="dxa"/>
          <w:left w:w="108" w:type="dxa"/>
          <w:bottom w:w="0" w:type="dxa"/>
          <w:right w:w="108" w:type="dxa"/>
        </w:tblCellMar>
      </w:tblPr>
      <w:tblGrid>
        <w:gridCol w:w="2136"/>
        <w:gridCol w:w="1716"/>
        <w:gridCol w:w="1716"/>
        <w:gridCol w:w="1176"/>
        <w:gridCol w:w="3111"/>
      </w:tblGrid>
      <w:tr>
        <w:tblPrEx>
          <w:tblLayout w:type="fixed"/>
          <w:tblCellMar>
            <w:top w:w="0" w:type="dxa"/>
            <w:left w:w="108" w:type="dxa"/>
            <w:bottom w:w="0" w:type="dxa"/>
            <w:right w:w="108" w:type="dxa"/>
          </w:tblCellMar>
        </w:tblPrEx>
        <w:trPr>
          <w:trHeight w:val="405" w:hRule="atLeast"/>
        </w:trPr>
        <w:tc>
          <w:tcPr>
            <w:tcW w:w="9855" w:type="dxa"/>
            <w:gridSpan w:val="5"/>
            <w:tcBorders>
              <w:top w:val="nil"/>
              <w:left w:val="nil"/>
              <w:bottom w:val="nil"/>
              <w:right w:val="nil"/>
            </w:tcBorders>
            <w:vAlign w:val="center"/>
          </w:tcPr>
          <w:p>
            <w:pPr>
              <w:widowControl/>
              <w:spacing w:line="520" w:lineRule="exact"/>
              <w:jc w:val="center"/>
              <w:rPr>
                <w:rFonts w:ascii="仿宋" w:hAnsi="仿宋" w:eastAsia="仿宋" w:cs="宋体"/>
                <w:b/>
                <w:kern w:val="0"/>
                <w:sz w:val="32"/>
                <w:szCs w:val="32"/>
              </w:rPr>
            </w:pPr>
            <w:r>
              <w:rPr>
                <w:rFonts w:hint="eastAsia" w:ascii="仿宋" w:hAnsi="仿宋" w:eastAsia="仿宋"/>
                <w:b/>
                <w:sz w:val="32"/>
                <w:szCs w:val="32"/>
              </w:rPr>
              <w:t>“三公”经费预算情况及增减变化表</w:t>
            </w:r>
          </w:p>
        </w:tc>
      </w:tr>
      <w:tr>
        <w:tblPrEx>
          <w:tblLayout w:type="fixed"/>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pPr>
              <w:widowControl/>
              <w:jc w:val="left"/>
              <w:rPr>
                <w:rFonts w:ascii="宋体" w:hAnsi="宋体" w:cs="宋体"/>
                <w:kern w:val="0"/>
                <w:sz w:val="24"/>
              </w:rPr>
            </w:pPr>
          </w:p>
        </w:tc>
        <w:tc>
          <w:tcPr>
            <w:tcW w:w="1716" w:type="dxa"/>
            <w:tcBorders>
              <w:top w:val="nil"/>
              <w:left w:val="nil"/>
              <w:bottom w:val="nil"/>
              <w:right w:val="nil"/>
            </w:tcBorders>
            <w:vAlign w:val="center"/>
          </w:tcPr>
          <w:p>
            <w:pPr>
              <w:widowControl/>
              <w:jc w:val="left"/>
              <w:rPr>
                <w:rFonts w:ascii="宋体" w:hAnsi="宋体" w:cs="宋体"/>
                <w:kern w:val="0"/>
                <w:sz w:val="24"/>
              </w:rPr>
            </w:pPr>
          </w:p>
        </w:tc>
        <w:tc>
          <w:tcPr>
            <w:tcW w:w="1716" w:type="dxa"/>
            <w:tcBorders>
              <w:top w:val="nil"/>
              <w:left w:val="nil"/>
              <w:bottom w:val="nil"/>
              <w:right w:val="nil"/>
            </w:tcBorders>
            <w:vAlign w:val="center"/>
          </w:tcPr>
          <w:p>
            <w:pPr>
              <w:widowControl/>
              <w:jc w:val="left"/>
              <w:rPr>
                <w:rFonts w:ascii="宋体" w:hAnsi="宋体" w:cs="宋体"/>
                <w:kern w:val="0"/>
                <w:sz w:val="24"/>
              </w:rPr>
            </w:pPr>
          </w:p>
        </w:tc>
        <w:tc>
          <w:tcPr>
            <w:tcW w:w="1176" w:type="dxa"/>
            <w:tcBorders>
              <w:top w:val="nil"/>
              <w:left w:val="nil"/>
              <w:bottom w:val="nil"/>
              <w:right w:val="nil"/>
            </w:tcBorders>
            <w:vAlign w:val="center"/>
          </w:tcPr>
          <w:p>
            <w:pPr>
              <w:widowControl/>
              <w:jc w:val="left"/>
              <w:rPr>
                <w:rFonts w:ascii="宋体" w:hAnsi="宋体" w:cs="宋体"/>
                <w:kern w:val="0"/>
                <w:sz w:val="24"/>
              </w:rPr>
            </w:pPr>
          </w:p>
        </w:tc>
        <w:tc>
          <w:tcPr>
            <w:tcW w:w="3111" w:type="dxa"/>
            <w:tcBorders>
              <w:top w:val="nil"/>
              <w:left w:val="nil"/>
              <w:bottom w:val="nil"/>
              <w:right w:val="nil"/>
            </w:tcBorders>
            <w:vAlign w:val="center"/>
          </w:tcPr>
          <w:p>
            <w:pPr>
              <w:widowControl/>
              <w:jc w:val="right"/>
              <w:rPr>
                <w:rFonts w:ascii="宋体" w:hAnsi="宋体" w:cs="宋体"/>
                <w:kern w:val="0"/>
                <w:sz w:val="24"/>
              </w:rPr>
            </w:pPr>
            <w:r>
              <w:rPr>
                <w:rFonts w:hint="eastAsia" w:ascii="宋体" w:hAnsi="宋体" w:cs="宋体"/>
                <w:kern w:val="0"/>
                <w:sz w:val="24"/>
              </w:rPr>
              <w:t>单位：万元</w:t>
            </w:r>
          </w:p>
        </w:tc>
      </w:tr>
      <w:tr>
        <w:tblPrEx>
          <w:tblLayout w:type="fixed"/>
          <w:tblCellMar>
            <w:top w:w="0" w:type="dxa"/>
            <w:left w:w="108" w:type="dxa"/>
            <w:bottom w:w="0" w:type="dxa"/>
            <w:right w:w="108" w:type="dxa"/>
          </w:tblCellMar>
        </w:tblPrEx>
        <w:trPr>
          <w:trHeight w:val="492" w:hRule="atLeast"/>
        </w:trPr>
        <w:tc>
          <w:tcPr>
            <w:tcW w:w="21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项目名称</w:t>
            </w:r>
          </w:p>
        </w:tc>
        <w:tc>
          <w:tcPr>
            <w:tcW w:w="171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2017年度预算</w:t>
            </w:r>
          </w:p>
        </w:tc>
        <w:tc>
          <w:tcPr>
            <w:tcW w:w="171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2018年度预算</w:t>
            </w:r>
          </w:p>
        </w:tc>
        <w:tc>
          <w:tcPr>
            <w:tcW w:w="117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增减金额</w:t>
            </w:r>
          </w:p>
        </w:tc>
        <w:tc>
          <w:tcPr>
            <w:tcW w:w="311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变化原因</w:t>
            </w:r>
          </w:p>
        </w:tc>
      </w:tr>
      <w:tr>
        <w:tblPrEx>
          <w:tblLayout w:type="fixed"/>
          <w:tblCellMar>
            <w:top w:w="0" w:type="dxa"/>
            <w:left w:w="108" w:type="dxa"/>
            <w:bottom w:w="0" w:type="dxa"/>
            <w:right w:w="108" w:type="dxa"/>
          </w:tblCellMar>
        </w:tblPrEx>
        <w:trPr>
          <w:trHeight w:val="392"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出国经费</w:t>
            </w:r>
          </w:p>
        </w:tc>
        <w:tc>
          <w:tcPr>
            <w:tcW w:w="171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0</w:t>
            </w:r>
          </w:p>
        </w:tc>
        <w:tc>
          <w:tcPr>
            <w:tcW w:w="171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0</w:t>
            </w:r>
          </w:p>
        </w:tc>
        <w:tc>
          <w:tcPr>
            <w:tcW w:w="117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0</w:t>
            </w:r>
          </w:p>
        </w:tc>
        <w:tc>
          <w:tcPr>
            <w:tcW w:w="311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无增减变化</w:t>
            </w:r>
          </w:p>
        </w:tc>
      </w:tr>
      <w:tr>
        <w:tblPrEx>
          <w:tblLayout w:type="fixed"/>
          <w:tblCellMar>
            <w:top w:w="0" w:type="dxa"/>
            <w:left w:w="108" w:type="dxa"/>
            <w:bottom w:w="0" w:type="dxa"/>
            <w:right w:w="108" w:type="dxa"/>
          </w:tblCellMar>
        </w:tblPrEx>
        <w:trPr>
          <w:trHeight w:val="461"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公务用车购置经费</w:t>
            </w:r>
          </w:p>
        </w:tc>
        <w:tc>
          <w:tcPr>
            <w:tcW w:w="171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0</w:t>
            </w:r>
          </w:p>
        </w:tc>
        <w:tc>
          <w:tcPr>
            <w:tcW w:w="171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0</w:t>
            </w:r>
          </w:p>
        </w:tc>
        <w:tc>
          <w:tcPr>
            <w:tcW w:w="117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0</w:t>
            </w:r>
          </w:p>
        </w:tc>
        <w:tc>
          <w:tcPr>
            <w:tcW w:w="311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无增减变化</w:t>
            </w:r>
          </w:p>
        </w:tc>
      </w:tr>
      <w:tr>
        <w:tblPrEx>
          <w:tblLayout w:type="fixed"/>
          <w:tblCellMar>
            <w:top w:w="0" w:type="dxa"/>
            <w:left w:w="108" w:type="dxa"/>
            <w:bottom w:w="0" w:type="dxa"/>
            <w:right w:w="108" w:type="dxa"/>
          </w:tblCellMar>
        </w:tblPrEx>
        <w:trPr>
          <w:trHeight w:val="556"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公务用车运行经费</w:t>
            </w:r>
          </w:p>
        </w:tc>
        <w:tc>
          <w:tcPr>
            <w:tcW w:w="1716"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1.2</w:t>
            </w:r>
          </w:p>
        </w:tc>
        <w:tc>
          <w:tcPr>
            <w:tcW w:w="1716"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1.2</w:t>
            </w:r>
          </w:p>
        </w:tc>
        <w:tc>
          <w:tcPr>
            <w:tcW w:w="1176"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0</w:t>
            </w:r>
          </w:p>
        </w:tc>
        <w:tc>
          <w:tcPr>
            <w:tcW w:w="311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无增减变化</w:t>
            </w:r>
          </w:p>
        </w:tc>
      </w:tr>
      <w:tr>
        <w:tblPrEx>
          <w:tblLayout w:type="fixed"/>
          <w:tblCellMar>
            <w:top w:w="0" w:type="dxa"/>
            <w:left w:w="108" w:type="dxa"/>
            <w:bottom w:w="0" w:type="dxa"/>
            <w:right w:w="108" w:type="dxa"/>
          </w:tblCellMar>
        </w:tblPrEx>
        <w:trPr>
          <w:trHeight w:val="432"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公务接待费支出</w:t>
            </w:r>
          </w:p>
        </w:tc>
        <w:tc>
          <w:tcPr>
            <w:tcW w:w="1716"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0</w:t>
            </w:r>
          </w:p>
        </w:tc>
        <w:tc>
          <w:tcPr>
            <w:tcW w:w="1716"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0</w:t>
            </w:r>
          </w:p>
        </w:tc>
        <w:tc>
          <w:tcPr>
            <w:tcW w:w="1176"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0</w:t>
            </w:r>
          </w:p>
        </w:tc>
        <w:tc>
          <w:tcPr>
            <w:tcW w:w="311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无增减变化。</w:t>
            </w:r>
          </w:p>
        </w:tc>
      </w:tr>
      <w:tr>
        <w:tblPrEx>
          <w:tblLayout w:type="fixed"/>
          <w:tblCellMar>
            <w:top w:w="0" w:type="dxa"/>
            <w:left w:w="108" w:type="dxa"/>
            <w:bottom w:w="0" w:type="dxa"/>
            <w:right w:w="108" w:type="dxa"/>
          </w:tblCellMar>
        </w:tblPrEx>
        <w:trPr>
          <w:trHeight w:val="553"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合计</w:t>
            </w:r>
          </w:p>
        </w:tc>
        <w:tc>
          <w:tcPr>
            <w:tcW w:w="1716"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1.2</w:t>
            </w:r>
          </w:p>
        </w:tc>
        <w:tc>
          <w:tcPr>
            <w:tcW w:w="1716"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1.2</w:t>
            </w:r>
          </w:p>
        </w:tc>
        <w:tc>
          <w:tcPr>
            <w:tcW w:w="1176"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0</w:t>
            </w:r>
          </w:p>
        </w:tc>
        <w:tc>
          <w:tcPr>
            <w:tcW w:w="311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无增减变化</w:t>
            </w:r>
          </w:p>
        </w:tc>
      </w:tr>
    </w:tbl>
    <w:p>
      <w:pPr>
        <w:spacing w:line="520" w:lineRule="exact"/>
        <w:jc w:val="center"/>
        <w:rPr>
          <w:rFonts w:hint="eastAsia" w:asciiTheme="majorEastAsia" w:hAnsiTheme="majorEastAsia" w:eastAsiaTheme="majorEastAsia"/>
          <w:b/>
          <w:sz w:val="36"/>
          <w:szCs w:val="36"/>
        </w:rPr>
      </w:pPr>
    </w:p>
    <w:p>
      <w:pPr>
        <w:spacing w:line="520" w:lineRule="exact"/>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第六部分：名词解释</w:t>
      </w:r>
    </w:p>
    <w:p>
      <w:pPr>
        <w:ind w:firstLine="420" w:firstLineChars="200"/>
        <w:jc w:val="left"/>
        <w:outlineLvl w:val="0"/>
        <w:rPr>
          <w:rFonts w:hint="eastAsia" w:ascii="黑体" w:hAnsi="黑体" w:eastAsia="黑体"/>
          <w:szCs w:val="21"/>
        </w:rPr>
      </w:pPr>
    </w:p>
    <w:p>
      <w:pPr>
        <w:spacing w:line="500" w:lineRule="exact"/>
        <w:ind w:firstLine="643" w:firstLineChars="200"/>
        <w:jc w:val="left"/>
        <w:outlineLvl w:val="0"/>
        <w:rPr>
          <w:rFonts w:ascii="仿宋" w:hAnsi="仿宋" w:eastAsia="仿宋"/>
          <w:sz w:val="32"/>
          <w:szCs w:val="32"/>
        </w:rPr>
      </w:pPr>
      <w:r>
        <w:rPr>
          <w:rFonts w:hint="eastAsia" w:ascii="仿宋" w:hAnsi="仿宋" w:eastAsia="仿宋"/>
          <w:b/>
          <w:sz w:val="32"/>
          <w:szCs w:val="32"/>
        </w:rPr>
        <w:t>一、财政拨款收入：</w:t>
      </w:r>
      <w:r>
        <w:rPr>
          <w:rFonts w:hint="eastAsia" w:ascii="仿宋" w:hAnsi="仿宋" w:eastAsia="仿宋"/>
          <w:sz w:val="32"/>
          <w:szCs w:val="32"/>
        </w:rPr>
        <w:t>指县级财政当年拨付的资金。</w:t>
      </w:r>
    </w:p>
    <w:p>
      <w:pPr>
        <w:spacing w:line="500" w:lineRule="exact"/>
        <w:ind w:firstLine="643" w:firstLineChars="200"/>
        <w:jc w:val="left"/>
        <w:outlineLvl w:val="0"/>
        <w:rPr>
          <w:rFonts w:ascii="仿宋" w:hAnsi="仿宋" w:eastAsia="仿宋"/>
          <w:sz w:val="32"/>
          <w:szCs w:val="32"/>
        </w:rPr>
      </w:pPr>
      <w:r>
        <w:rPr>
          <w:rFonts w:hint="eastAsia" w:ascii="仿宋" w:hAnsi="仿宋" w:eastAsia="仿宋"/>
          <w:b/>
          <w:sz w:val="32"/>
          <w:szCs w:val="32"/>
        </w:rPr>
        <w:t>二、其他收入：</w:t>
      </w:r>
      <w:r>
        <w:rPr>
          <w:rFonts w:hint="eastAsia" w:ascii="仿宋" w:hAnsi="仿宋" w:eastAsia="仿宋"/>
          <w:sz w:val="32"/>
          <w:szCs w:val="32"/>
        </w:rPr>
        <w:t>指除上述“财政拨款收入”、“事业收入”等以外的收入。</w:t>
      </w:r>
    </w:p>
    <w:p>
      <w:pPr>
        <w:spacing w:line="500" w:lineRule="exact"/>
        <w:ind w:firstLine="643" w:firstLineChars="200"/>
        <w:jc w:val="left"/>
        <w:outlineLvl w:val="0"/>
        <w:rPr>
          <w:rFonts w:ascii="仿宋" w:hAnsi="仿宋" w:eastAsia="仿宋"/>
          <w:sz w:val="32"/>
          <w:szCs w:val="32"/>
        </w:rPr>
      </w:pPr>
      <w:r>
        <w:rPr>
          <w:rFonts w:hint="eastAsia" w:ascii="仿宋" w:hAnsi="仿宋" w:eastAsia="仿宋"/>
          <w:b/>
          <w:sz w:val="32"/>
          <w:szCs w:val="32"/>
        </w:rPr>
        <w:t>三、基本支出：</w:t>
      </w:r>
      <w:r>
        <w:rPr>
          <w:rFonts w:hint="eastAsia" w:ascii="仿宋" w:hAnsi="仿宋" w:eastAsia="仿宋"/>
          <w:sz w:val="32"/>
          <w:szCs w:val="32"/>
        </w:rPr>
        <w:t>指为保障机构正常运转、完成日常工作任务而发生的人员支出和公用支出。</w:t>
      </w:r>
    </w:p>
    <w:p>
      <w:pPr>
        <w:spacing w:line="500" w:lineRule="exact"/>
        <w:ind w:firstLine="643" w:firstLineChars="200"/>
        <w:jc w:val="left"/>
        <w:outlineLvl w:val="0"/>
        <w:rPr>
          <w:rFonts w:ascii="仿宋" w:hAnsi="仿宋" w:eastAsia="仿宋"/>
          <w:sz w:val="32"/>
          <w:szCs w:val="32"/>
        </w:rPr>
      </w:pPr>
      <w:r>
        <w:rPr>
          <w:rFonts w:hint="eastAsia" w:ascii="仿宋" w:hAnsi="仿宋" w:eastAsia="仿宋"/>
          <w:b/>
          <w:sz w:val="32"/>
          <w:szCs w:val="32"/>
        </w:rPr>
        <w:t>四、项目支出：</w:t>
      </w:r>
      <w:r>
        <w:rPr>
          <w:rFonts w:hint="eastAsia" w:ascii="仿宋" w:hAnsi="仿宋" w:eastAsia="仿宋"/>
          <w:sz w:val="32"/>
          <w:szCs w:val="32"/>
        </w:rPr>
        <w:t>指在基本支出之外为完成特定行政任务和事业发展目标所发生的支出。</w:t>
      </w:r>
    </w:p>
    <w:p>
      <w:pPr>
        <w:spacing w:line="500" w:lineRule="exact"/>
        <w:ind w:firstLine="643" w:firstLineChars="200"/>
        <w:jc w:val="left"/>
        <w:outlineLvl w:val="0"/>
        <w:rPr>
          <w:rFonts w:ascii="仿宋" w:hAnsi="仿宋" w:eastAsia="仿宋"/>
          <w:sz w:val="32"/>
          <w:szCs w:val="32"/>
        </w:rPr>
      </w:pPr>
      <w:r>
        <w:rPr>
          <w:rFonts w:hint="eastAsia" w:ascii="仿宋" w:hAnsi="仿宋" w:eastAsia="仿宋"/>
          <w:b/>
          <w:sz w:val="32"/>
          <w:szCs w:val="32"/>
        </w:rPr>
        <w:t>五、“三公”经费：</w:t>
      </w:r>
      <w:r>
        <w:rPr>
          <w:rFonts w:hint="eastAsia" w:ascii="仿宋" w:hAnsi="仿宋" w:eastAsia="仿宋"/>
          <w:sz w:val="32"/>
          <w:szCs w:val="32"/>
        </w:rPr>
        <w:t>纳入县级财政预算管理的“三公”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803" w:firstLineChars="250"/>
        <w:rPr>
          <w:rFonts w:hint="eastAsia" w:ascii="仿宋" w:hAnsi="仿宋" w:eastAsia="仿宋"/>
          <w:sz w:val="32"/>
          <w:szCs w:val="32"/>
        </w:rPr>
      </w:pPr>
      <w:r>
        <w:rPr>
          <w:rFonts w:hint="eastAsia" w:ascii="仿宋" w:hAnsi="仿宋" w:eastAsia="仿宋"/>
          <w:b/>
          <w:sz w:val="32"/>
          <w:szCs w:val="32"/>
        </w:rPr>
        <w:t>六、机关运行费：</w:t>
      </w:r>
      <w:r>
        <w:rPr>
          <w:rFonts w:hint="eastAsia" w:ascii="仿宋" w:hAnsi="仿宋" w:eastAsia="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803" w:firstLineChars="250"/>
        <w:rPr>
          <w:rFonts w:hint="eastAsia" w:ascii="仿宋" w:hAnsi="仿宋" w:eastAsia="仿宋"/>
          <w:sz w:val="32"/>
          <w:szCs w:val="32"/>
        </w:rPr>
      </w:pPr>
      <w:r>
        <w:rPr>
          <w:rFonts w:hint="eastAsia" w:ascii="仿宋" w:hAnsi="仿宋" w:eastAsia="仿宋"/>
          <w:b/>
          <w:sz w:val="32"/>
          <w:szCs w:val="32"/>
        </w:rPr>
        <w:t>七、公务费：</w:t>
      </w:r>
      <w:r>
        <w:rPr>
          <w:rFonts w:hint="eastAsia" w:ascii="仿宋" w:hAnsi="仿宋" w:eastAsia="仿宋"/>
          <w:sz w:val="32"/>
          <w:szCs w:val="32"/>
        </w:rPr>
        <w:t>包括办公费、水电费、邮电费、取暖费、交通费、一般会议费和物业管理费之和。</w:t>
      </w:r>
    </w:p>
    <w:p>
      <w:pPr>
        <w:spacing w:line="500" w:lineRule="exact"/>
        <w:ind w:firstLine="627" w:firstLineChars="196"/>
        <w:jc w:val="center"/>
        <w:outlineLvl w:val="0"/>
        <w:rPr>
          <w:rFonts w:hint="eastAsia" w:ascii="黑体" w:hAnsi="黑体" w:eastAsia="黑体"/>
          <w:sz w:val="32"/>
          <w:szCs w:val="32"/>
        </w:rPr>
      </w:pPr>
    </w:p>
    <w:p>
      <w:pPr>
        <w:spacing w:line="500" w:lineRule="exact"/>
        <w:jc w:val="center"/>
        <w:outlineLvl w:val="0"/>
        <w:rPr>
          <w:rFonts w:hint="eastAsia" w:asciiTheme="majorEastAsia" w:hAnsiTheme="majorEastAsia" w:eastAsiaTheme="majorEastAsia"/>
          <w:b/>
          <w:sz w:val="36"/>
          <w:szCs w:val="36"/>
        </w:rPr>
      </w:pPr>
      <w:r>
        <w:rPr>
          <w:rFonts w:hint="eastAsia" w:asciiTheme="majorEastAsia" w:hAnsiTheme="majorEastAsia" w:eastAsiaTheme="majorEastAsia"/>
          <w:b/>
          <w:sz w:val="36"/>
          <w:szCs w:val="36"/>
        </w:rPr>
        <w:t>第七部分：其他需说明的事项</w:t>
      </w:r>
    </w:p>
    <w:p>
      <w:pPr>
        <w:spacing w:line="500" w:lineRule="exact"/>
        <w:ind w:firstLine="1264" w:firstLineChars="395"/>
        <w:jc w:val="left"/>
        <w:outlineLvl w:val="0"/>
        <w:rPr>
          <w:rFonts w:hint="eastAsia" w:ascii="仿宋" w:hAnsi="仿宋" w:eastAsia="仿宋"/>
          <w:sz w:val="32"/>
          <w:szCs w:val="32"/>
        </w:rPr>
      </w:pPr>
    </w:p>
    <w:p>
      <w:pPr>
        <w:spacing w:line="500" w:lineRule="exact"/>
        <w:ind w:firstLine="640" w:firstLineChars="200"/>
        <w:jc w:val="left"/>
        <w:outlineLvl w:val="0"/>
        <w:rPr>
          <w:rFonts w:hint="eastAsia" w:ascii="黑体" w:hAnsi="黑体" w:eastAsia="黑体"/>
          <w:sz w:val="32"/>
          <w:szCs w:val="32"/>
        </w:rPr>
      </w:pPr>
      <w:r>
        <w:rPr>
          <w:rFonts w:hint="eastAsia" w:ascii="仿宋" w:hAnsi="仿宋" w:eastAsia="仿宋"/>
          <w:sz w:val="32"/>
          <w:szCs w:val="32"/>
        </w:rPr>
        <w:t>我单位无其他需说明的事项。</w:t>
      </w:r>
    </w:p>
    <w:p>
      <w:pPr>
        <w:ind w:firstLine="640" w:firstLineChars="200"/>
        <w:jc w:val="left"/>
        <w:outlineLvl w:val="0"/>
        <w:rPr>
          <w:rFonts w:ascii="仿宋" w:hAnsi="仿宋" w:eastAsia="仿宋"/>
          <w:sz w:val="32"/>
          <w:szCs w:val="32"/>
        </w:rPr>
      </w:pPr>
    </w:p>
    <w:sectPr>
      <w:pgSz w:w="11907" w:h="16839"/>
      <w:pgMar w:top="1020" w:right="1134" w:bottom="102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书宋_GBK">
    <w:altName w:val="SimSun-ExtB"/>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SimSun-ExtB">
    <w:panose1 w:val="02010609060101010101"/>
    <w:charset w:val="86"/>
    <w:family w:val="auto"/>
    <w:pitch w:val="default"/>
    <w:sig w:usb0="00000001" w:usb1="02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F647C"/>
    <w:multiLevelType w:val="multilevel"/>
    <w:tmpl w:val="07AF647C"/>
    <w:lvl w:ilvl="0" w:tentative="0">
      <w:start w:val="1"/>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
    <w:nsid w:val="1CFD417D"/>
    <w:multiLevelType w:val="multilevel"/>
    <w:tmpl w:val="1CFD417D"/>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MjdkMzhkMGJkM2Q2YjMwMzJhZTI5YmQ1M2QyNDgifQ=="/>
  </w:docVars>
  <w:rsids>
    <w:rsidRoot w:val="00172A27"/>
    <w:rsid w:val="0003758F"/>
    <w:rsid w:val="00084133"/>
    <w:rsid w:val="000B2917"/>
    <w:rsid w:val="001711FC"/>
    <w:rsid w:val="003C3A31"/>
    <w:rsid w:val="00531DFF"/>
    <w:rsid w:val="00761056"/>
    <w:rsid w:val="008145C0"/>
    <w:rsid w:val="00825FA5"/>
    <w:rsid w:val="009659D8"/>
    <w:rsid w:val="00A9168F"/>
    <w:rsid w:val="00B0139D"/>
    <w:rsid w:val="00C04EC3"/>
    <w:rsid w:val="00C646F8"/>
    <w:rsid w:val="00CA3E1D"/>
    <w:rsid w:val="00CC3D9F"/>
    <w:rsid w:val="00DE1A28"/>
    <w:rsid w:val="00DF3A7D"/>
    <w:rsid w:val="00E109B4"/>
    <w:rsid w:val="00EB428C"/>
    <w:rsid w:val="00EC23B3"/>
    <w:rsid w:val="00EC5BFA"/>
    <w:rsid w:val="00ED0BAD"/>
    <w:rsid w:val="00EE76CB"/>
    <w:rsid w:val="00FB755C"/>
    <w:rsid w:val="04FF4253"/>
    <w:rsid w:val="06833662"/>
    <w:rsid w:val="3EBE6C22"/>
    <w:rsid w:val="40C13F9E"/>
    <w:rsid w:val="40C974BA"/>
    <w:rsid w:val="41340DD7"/>
    <w:rsid w:val="6124240C"/>
    <w:rsid w:val="6907382F"/>
    <w:rsid w:val="7F7657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unhideWhenUsed/>
    <w:uiPriority w:val="99"/>
    <w:pPr>
      <w:widowControl w:val="0"/>
      <w:spacing w:beforeLines="0" w:afterLines="0"/>
      <w:jc w:val="both"/>
    </w:pPr>
    <w:rPr>
      <w:rFonts w:hint="eastAsia" w:ascii="宋体" w:hAnsi="宋体" w:eastAsia="宋体"/>
      <w:sz w:val="21"/>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semiHidden/>
    <w:qFormat/>
    <w:uiPriority w:val="0"/>
  </w:style>
  <w:style w:type="paragraph" w:styleId="6">
    <w:name w:val="toc 2"/>
    <w:basedOn w:val="1"/>
    <w:next w:val="1"/>
    <w:semiHidden/>
    <w:qFormat/>
    <w:uiPriority w:val="0"/>
    <w:pPr>
      <w:ind w:left="420" w:leftChars="200"/>
    </w:p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0">
    <w:name w:val="Hyperlink"/>
    <w:basedOn w:val="9"/>
    <w:qFormat/>
    <w:uiPriority w:val="0"/>
    <w:rPr>
      <w:color w:val="0000FF"/>
      <w:u w:val="single"/>
    </w:rPr>
  </w:style>
  <w:style w:type="character" w:customStyle="1" w:styleId="11">
    <w:name w:val="页眉 Char"/>
    <w:basedOn w:val="9"/>
    <w:link w:val="4"/>
    <w:qFormat/>
    <w:uiPriority w:val="0"/>
    <w:rPr>
      <w:rFonts w:ascii="Times New Roman" w:hAnsi="Times New Roman" w:eastAsia="宋体" w:cs="Times New Roman"/>
      <w:sz w:val="18"/>
      <w:szCs w:val="18"/>
    </w:rPr>
  </w:style>
  <w:style w:type="character" w:customStyle="1" w:styleId="12">
    <w:name w:val="页脚 Char"/>
    <w:basedOn w:val="9"/>
    <w:link w:val="3"/>
    <w:qFormat/>
    <w:uiPriority w:val="0"/>
    <w:rPr>
      <w:rFonts w:ascii="Times New Roman" w:hAnsi="Times New Roman" w:eastAsia="宋体" w:cs="Times New Roman"/>
      <w:sz w:val="18"/>
      <w:szCs w:val="18"/>
    </w:rPr>
  </w:style>
  <w:style w:type="paragraph" w:customStyle="1" w:styleId="13">
    <w:name w:val="List Paragraph"/>
    <w:basedOn w:val="1"/>
    <w:qFormat/>
    <w:uiPriority w:val="34"/>
    <w:pPr>
      <w:ind w:firstLine="420" w:firstLineChars="200"/>
    </w:pPr>
  </w:style>
  <w:style w:type="paragraph" w:customStyle="1" w:styleId="14">
    <w:name w:val="[Normal]"/>
    <w:unhideWhenUsed/>
    <w:qFormat/>
    <w:uiPriority w:val="99"/>
    <w:pPr>
      <w:widowControl w:val="0"/>
      <w:autoSpaceDE w:val="0"/>
      <w:autoSpaceDN w:val="0"/>
      <w:adjustRightInd w:val="0"/>
      <w:spacing w:beforeLines="0" w:afterLines="0"/>
    </w:pPr>
    <w:rPr>
      <w:rFonts w:hint="eastAsia" w:ascii="宋体" w:hAnsi="宋体" w:eastAsia="宋体" w:cstheme="minorBidi"/>
      <w:sz w:val="24"/>
    </w:rPr>
  </w:style>
  <w:style w:type="paragraph" w:customStyle="1" w:styleId="15">
    <w:name w:val="Standard"/>
    <w:basedOn w:val="14"/>
    <w:unhideWhenUsed/>
    <w:qFormat/>
    <w:uiPriority w:val="99"/>
    <w:pPr>
      <w:widowControl/>
      <w:spacing w:beforeLines="0" w:afterLines="0"/>
    </w:pPr>
    <w:rPr>
      <w:rFonts w:hint="default" w:ascii="Times New Roman" w:hAnsi="Times New Roman" w:eastAsia="Times New Roman"/>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682</Words>
  <Characters>3891</Characters>
  <Lines>32</Lines>
  <Paragraphs>9</Paragraphs>
  <TotalTime>7</TotalTime>
  <ScaleCrop>false</ScaleCrop>
  <LinksUpToDate>false</LinksUpToDate>
  <CharactersWithSpaces>4564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2018-03-09T07:20:00Z</dcterms:created>
  <dc:creator>lenovo</dc:creator>
  <cp:lastModifiedBy>6665</cp:lastModifiedBy>
  <cp:lastPrinted>2018-03-12T02:10:00Z</cp:lastPrinted>
  <dcterms:modified xsi:type="dcterms:W3CDTF">2024-06-27T01:55:05Z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5C15400043E64C5BB56F752BDBFC8A56_13</vt:lpwstr>
  </property>
</Properties>
</file>